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44 vom 30. Mai 2017</w:t>
      </w:r>
    </w:p>
    <w:p>
      <w:r>
        <w:t>FR Kantonsgericht, 2017-05-30, FR</w:t>
      </w:r>
    </w:p>
    <w:p>
      <w:r>
        <w:rPr>
          <w:b/>
        </w:rPr>
        <w:t xml:space="preserve">Quelle: </w:t>
      </w:r>
      <w:r>
        <w:t>https://mcp.opencaselaw.ch/entscheid/fr_gerichte_106_2017_44</w:t>
      </w:r>
    </w:p>
    <w:p>
      <w:r>
        <w:t>FR: FR_GERICHTE 106 2017 44 du 30 mai 2017</w:t>
      </w:r>
    </w:p>
    <w:p>
      <w:r>
        <w:t>IT: FR_GERICHTE 106 2017 44 del 30 maggio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 e) A.________, en tant que petit-fils qui a requis d’être nommé curateur de l’intéressée, a qualité pour recourir (art. 450 al. 2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w:t>
      </w:r>
    </w:p>
    <w:p>
      <w:r>
        <w:rPr>
          <w:b/>
        </w:rPr>
        <w:t>E. 2</w:t>
      </w:r>
    </w:p>
    <w:p>
      <w:r>
        <w:t>Le recourant semble contester la décision du 7 avril 2017 aussi bien en ce qui concerne l’institution d’une curatelle de représentation avec gestion du patrimoine que s’agissant du rejet de sa requête tendant à ce qu’il soit nommé curateur de sa grand-mère. a) aa)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Introduction au nouveau droit de protection de l'adulte, 2011, n. 405, p. 193;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w:t>
      </w:r>
    </w:p>
    <w:p>
      <w:r>
        <w:t>Tribunal cantonal TC Page 4 de 7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arrêt TF 5A_356/2015 du 26 juin 2015 consid. 3.1 et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 bb) En l’espèce, la Justice de paix a retenu qu’en raison de son grand âge, l’état de santé de B.________ est de plus en plus fragile. Suite à une chute à son domicile début février 2017, elle a dû être hospitalisée à l’HFR de Fribourg, puis transférée à l’HFR de Riaz pour une période de rééducation. Il est ressorti d’évaluations pratiquées sur l’intéressée qu’elle n’avait plus sa capacité de discernement et qu’un retour à domicile était inenvisageable. Elle n’est par ailleurs plus en mesure de gérer seule ses affaires administratives et financières. Consciente de sa situation, B.________ a dès lors consenti à son placement en EMS. La famille de l’intéressée a été consultée par le Service de liaison de l’HFR de Riaz concernant le choix d’un EMS. Sa fille s’est montrée ambivalente à ce sujet, faisant perdre une opportunité de placement pour sa mère. Certes, B.________ et sa famille ont émis le souhait qu’elle soit placée à l’EMS E.________ au vu de la proximité de l’établissement avec le domicile de son petit-fils, mais il sied de souligner l’urgence de la situation, l’intéressée étant sortante médicalement de l’hôpital depuis le 21 février 2017. Partant, un deuxième refus de place aurait engendré de lourdes dépenses et les frais d’hospitalisation auraient été entièrement à charge de l’intéressée. Ces éléments ont amené le Service de liaison de l’HFR de Riaz à transmettre à la Justice de paix une demande de curatelle en faveur de B.________ afin qu’elle puisse entrer dans un EMS dans les meilleurs délais. Au vu de ce qui précède, l’autorité de protection a considéré que les conditions étaient remplies pour instituer une curatelle de représentation avec gestion du patrimoine au sens de l’art. 394 al. 1 CC en lien avec l’art. 395 al. 1 CC. Elle a ajouté que cette mesure est apte à répondre aux besoins de l’intéressée, notamment en lien avec son état de santé fragile, son incapacité de discernement et la nécessité qu’elle ait un lieu de vie adéquat. A défaut d’une telle mesure, elle s’exposerait à voir sa situation se détériorer (décision attaquée, p. 6). cc) Le recourant rétorque en substance qu’il s’occupe depuis de nombreuses années des affaires administratives et financières de sa grand-mère sans avoir péjoré sa situation. Elle lui a donné accès à son patrimoine par procuration et il s’occupe de faire ses paiements en fonction de ses revenus. Etant son seul petit-fils et ayant un contact régulier, elle lui fait totalement confiance pour la gestion de ses affaires. Depuis son entrée au home, il s’est occupé de lui amener les</w:t>
      </w:r>
    </w:p>
    <w:p>
      <w:r>
        <w:t>Tribunal cantonal TC Page 5 de 7 habits et meubles qu’elle souhaitait avoir avec elle. Il est également la personne de référence pour le home pour régler toutes les démarches administratives et financières. Il entend en outre déposer une demande de prestations complémentaires. Le lien affectif qui le lie à sa grand-mère rend la collaboration très aisée. dd) Au vu du dossier de la cause, notamment du constat des médecins de l’HFR Riaz selon lequel B.________ n’est plus capable de discernement et ne peut plus gérer ses affaires administratives (DO 1), il ne fait aucun doute que l’intéressée se trouve dans un état de faiblesse entraînant un besoin de protection, B.________ n’étant plus en mesure d’assurer elle-même la sauvegarde de ses intérêts ou de désigner un représentant pour gérer ses affaires et de le surveiller. Le recourant ne le conteste d’ailleurs pas dans son écriture du 3 mai 2017. Se pose toutefois la question de savoir si le soutien nécessaire peut lui être apporté d’une autre façon que par une curatelle, en particulier par la famille. Tel n’est pas le cas. En effet, cette dernière – constituée de la fille qui s’est montrée très ambivalente, allant jusqu’à se défaire de toute responsabilité à l’égard de sa mère (DO 1), du beau-fils qui semble s’être occupé des affaires administratives de sa belle-mère, cette dernière refusant toutefois qu’il le fasse (DO 1, 9 s.), et du recourant qui est proche de sa grand-mère, mais également de ses parents – n’a pas été en mesure de prendre les décisions nécessaires en relation avec l’entrée en EMS, alors que B.________ était pourtant favorable à une telle entrée. De cette façon, une première place prévue dans un home a été perdue (DO 1). L’HFR Riaz a dès lors dû intervenir auprès de la Justice de paix afin que les mesures idoines soient prises (DO 1). En cours d’instruction, la Juge de paix a, à son tour, dû intervenir et décider d’accepter la deuxième place proposée puisque l’incapacité de la famille à prendre la décision qui s’imposait aurait pu mettre en danger la situation financière de B.________ (DO 15). En outre, les relations au sein de la famille sont difficiles (DO 7, 9 verso, 10, 13 verso). Dans ces conditions, l’institution d’une curatelle de représentation avec gestion du patrimoine est nécessaire et appropriée. Le cercle de tâches déterminé par la Justice de paix est quant à lui adapté à la situation de l’intéressée. b) aa) 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n. 541 ss, p. 246). De même, le curateur doit être capable de coopérer avec d’autres instances, de réagir lorsqu’un conflit se présente et d’assumer les responsabilités liées à sa fonction (STEINAUER/FOUNTOULAKIS, Droit des personnes physiques et de la protection de l’adulte, 2014, n. 1163, p. 519). L’existence d’un conflit d’intérêts met fin aux pouvoirs du curateur dans la cause concernée (art. 403 al. 2 CC). Enfin, la personne visée doit exécuter son mandat personnellement (art. 400 al. 1 CC, 398 al. 3 CO).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w:t>
      </w:r>
    </w:p>
    <w:p>
      <w:r>
        <w:t>Tribunal cantonal TC Page 6 de 7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n. 1170 ss, p. 521 ss). bb) En l’occurrence, la Justice de paix est d’avis qu’il convient de sortir la gestion des affaires administratives et financières de l’intéressée du giron familial. En effet, il semblerait que jusqu’alors, ce soit la famille, soit la fille, le beau-fils et le petit-fils, qui s’est occupée des affaires personnelles de B.________. Or, les rapports entre l’intéressée, sa fille et son beau-fils sont tendus, à tel point que B.________ a fait part de ses craintes de voir son beau-fils en charge de ses affaires. Sans remettre en cause les bons rapports qui unissent B.________ à son petit-fils, il est à craindre que ce dernier ne remplisse pas seul le mandat de curateur mais avec le concours de ses parents, ce qui n’est pas forcément dans l’intérêt de l’intéressée, ce d’autant plus qu’ils habitent tous à la même adresse. En effet, lors de l’entretien téléphonique entre A.________ et le Greffe de la Justice de paix, il ressortait clairement que sa mère, fille de l’intéressée, était présente et des instructions ont pu être données. En outre, même si A.________ est au bénéfice d’une procuration et d’une nomination de représentant thérapeutique signées par sa grand-mère, celles- ci sont sans valeur juridique contraignante étant donné que l’intéressée est incapable de discernement. Par conséquent, il convient de rejeter la requête tendant à ce qu’il soit nommé curateur de sa grand-mère, au vu de la situation ambiguë qui pourrait en découler. Cela permettra à l’intéressée âgée de 103 ans de profiter des liens familiaux sans autres tensions et lui garantir un lieu de vie stable (décision attaquée, p. 6 s.). cc) En sus des arguments déjà relevés ci-devant (ch. 2.a.cc), le recourant indique qu’avant l’hospitalisation de B.________, il se rendait au moins une fois par semaine à son domicile. Aujourd’hui et malgré l’éloignement, il continue à lui rendre visite au home. Il doute qu’une curatrice professionnelle puisse le faire autant au vu de la surcharge des services de curatelles. Ce faisant, il ne discute pas les arguments développés par les premiers juges, en particulier s’agissant de la crainte qu’il ne s’occupe pas personnellement du mandat, mais avec le concours de ses parents. Cette crainte est pourtant justifiée puisqu’il ressort du dossier non seulement que le recourant habite à la même adresse que ses parents, qu’il n’a pas été en mesure d’aller à l’encontre de l’avis du reste de la famille, respectivement de prendre une décision raisonnable lorsqu’il s’est agi d’accepter la deuxième place proposée dans un home, au risque de nuire aux intérêts financiers de sa grand-mère, adoptant au contraire une attitude négative (DO 20, 21 verso), que lors d’un contact téléphonique entre le Greffe de la Justice de paix et le recourant, il semblait fort probable que la mère de ce dernier écoutait la conversation, voire donnait des instructions, mais surtout qu’il a lui-même demandé à la Greffière si son père pouvait continuer à se charger des questions administratives et financières, lui-même s’occupant des affaires courantes, quitte à dire à sa grand-mère qu’il est nommé curateur pour la rassurer, mais que dans les faits, toute la famille exerce ou se partage les tâches liées au mandat (DO 13). De plus, le recourant soutient dans son recours qu’il s’occupe depuis de nombreuses années des affaires administratives et financières de sa grand-mère; or, cette affirmation interpelle car elle ne correspond pas aux informations figurant au dossier. En effet, sa mère a indiqué à la Justice de paix qu’elle et son mari se sont toujours occupés des affaires de B.________ (DO 7). A l’égard de l’HFR Riaz, elle a relevé que son mari gère les affaires administratives de l’intéressée « en catimini » (DO 1). Si elle a souligné que son fils est le seul qui rend visite régulièrement à</w:t>
      </w:r>
    </w:p>
    <w:p>
      <w:r>
        <w:t>Tribunal cantonal TC Page 7 de 7 l’intéressée et qu’il fait beaucoup pour elle, elle s’est également inquiétée du fait que la Justice de paix lui fasse endosser davantage de responsabilités puisqu’il serait déjà très pris entre son travail et sa vie privée (DO 11). De son côté, le recourant a indiqué le 7 mars 2017 qu’il s’occupe uniquement des paiements et des premières nécessités et est prêt à continuer à le faire (DO 13). Enfin, aussi bien B.________ que sa fille ou encore le recourant s’accordent pour dire que les relations familiales sont difficiles (DO 7, 9 verso, 10, 13 verso). Dans ces conditions et même s’il ne fait aucun doute que B.________ et son petit-fils entretiennent de très bonnes relations, ce dernier lui rendant visite régulièrement, ce qu’il pourra bien évidemment et en tout état de cause continuer à faire à l’avenir, la nomination d’un curateur externe à la famille est en l’espèce nécessaire et appropriée, en particulier pour éviter des conflits d’intérêts – qui entraîneraient d’ailleurs de plein droit la fin des pouvoirs du curateur dans l’affaire en cause et nécessiteraient la nomination d’un nouveau curateur –, garantir le respect des devoirs du curateur, soit notamment celui d’exercer le mandat personnellement et de conserver le secret, et assurer à l’intéressée un lieu de vie adéquat et la stabilité dont elle a besoin. Il s’ensuit le rejet du recours et la confirmation de la décision du 7 avril 2017.</w:t>
      </w:r>
    </w:p>
    <w:p>
      <w:r>
        <w:rPr>
          <w:b/>
        </w:rPr>
        <w:t>E. 3</w:t>
      </w:r>
    </w:p>
    <w:p>
      <w:r>
        <w:t>Vu le sort du recours, les frais judiciaires, fixés globalement à CHF 300.-, sont mis à la charge du recourant qui succombe (art. 106 al. 1 CPC). la Cour arrête: I. Le recours est rejeté. Partant, la décision rendue le 7 avril 2017 par la Justice de paix de l’arrondissement de la Sarine est confirmée. II. Les frais judiciaires de la procédure de recours, fixés à CHF 300.-,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mai 2017/swo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