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14 vom 16. Februar 2017</w:t>
      </w:r>
    </w:p>
    <w:p>
      <w:r>
        <w:t>FR Kantonsgericht, 2017-02-16, DE</w:t>
      </w:r>
    </w:p>
    <w:p>
      <w:r>
        <w:rPr>
          <w:b/>
        </w:rPr>
        <w:t xml:space="preserve">Quelle: </w:t>
      </w:r>
      <w:r>
        <w:t>https://mcp.opencaselaw.ch/entscheid/fr_gerichte_106_2017_14</w:t>
      </w:r>
    </w:p>
    <w:p>
      <w:r>
        <w:t>FR: FR_GERICHTE 106 2017 14 du 16 février 2017</w:t>
      </w:r>
    </w:p>
    <w:p>
      <w:r>
        <w:t>IT: FR_GERICHTE 106 2017 14 del 16 febbraio 2017</w:t>
      </w:r>
    </w:p>
    <w:p>
      <w:pPr>
        <w:pStyle w:val="Heading2"/>
      </w:pPr>
      <w:r>
        <w:t>Regeste</w:t>
      </w:r>
    </w:p>
    <w:p>
      <w:r>
        <w:t>Entscheid des Kindes- und Erwachsenenschutzhofes des Kantonsgerichts | Erwachsenenschutz</w:t>
      </w:r>
    </w:p>
    <w:p>
      <w:pPr>
        <w:pStyle w:val="Heading2"/>
      </w:pPr>
      <w:r>
        <w:t>Erwägungen</w:t>
      </w:r>
    </w:p>
    <w:p>
      <w:r>
        <w:rPr>
          <w:b/>
        </w:rPr>
        <w:t>E. 1</w:t>
      </w:r>
    </w:p>
    <w:p>
      <w:r>
        <w:t>a) Das Kantonsgericht bzw. dessen Kindes- und Erwachsenenschutzhof (Art. 14 Abs. 1 Bst. c des Reglements für das Kantonsgericht vom 22. November 2012 betreffend seine Organisation und seine Arbeitsweise [RKG]) ist zuständig für die Beschwerden gegen Entscheide, die von der Schutzbehörde oder deren Präsidentin oder Präsidenten getroffen wurden (Art. 8 KESG). b) Gemäss Art. 450b Abs. 1 ZGB beträgt die Beschwerdefrist 30 Tage seit Mitteilung des Entscheids. Der angefochtene Entscheid wurde dem Beschwerdeführ am 4. Februar 2017 zugestellt, sodass die Beschwerde vom 8. Februar 2017 fristgerecht erfolgt ist. c) Nach Art. 450 Abs. 2 ZGB sind namentlich die am Verfahren beteiligten Personen und die der betroffenen Person nahestehenden Personen zur Beschwerde befugt. Vorliegend ist der Beschwerdeführer als Sohn, der mit seiner Mutter zusammenlebt, zur Erhebung der Beschwerde befugt. d) Gemäss Art. 450a Abs. 1 ZGB können mit der Beschwerde Rechtsverletzungen (Ziff. 1), die unrichtige oder unvollständige Feststellung des Sachverhalts (Ziff. 2) sowie die Unangemessenheit (Ziff. 3) gerügt werden. Die für das erstinstanzliche Verfahren anwendbaren Grundsätze der Untersuchungs- und Offizialmaxime gelten auch vor der Beschwerdeinstanz (KOKES-Praxisanleitung Erwachsenenschutzrecht, Rz. 12.34). e) Die Beschwerde ist beim Gericht schriftlich und begründet einzureichen (Art. 450 Abs. 3 ZGB). Dies ist vorliegend der Fall. f) Da das freiburgische Recht nichts anderes bestimmt, sind die Bestimmungen der Zivilprozessordnung sinngemäss anwendbar (Art. 450f ZGB). Die Rechtsmittelinstanz kann somit aufgrund der Akten entscheiden (Art. 327 Abs. 2 ZPO).</w:t>
      </w:r>
    </w:p>
    <w:p>
      <w:r>
        <w:t>Kantonsgericht KG Seite 4 von 8</w:t>
      </w:r>
    </w:p>
    <w:p>
      <w:r>
        <w:rPr>
          <w:b/>
        </w:rPr>
        <w:t>E. 2</w:t>
      </w:r>
    </w:p>
    <w:p>
      <w:r>
        <w:t>Der Hof hat im vorliegenden Verfahren die Akten des Friedensgerichts (500 2017 16) sowie seine Akten (106 2017 13) bezüglich der fürsorgerischen Unterbringung von B.________ von Amtes wegen beigezogen.</w:t>
      </w:r>
    </w:p>
    <w:p>
      <w:r>
        <w:rPr>
          <w:b/>
        </w:rPr>
        <w:t>E. 3</w:t>
      </w:r>
    </w:p>
    <w:p>
      <w:r>
        <w:t>Der Beschwerdeführer dringt mit seinem Antrag nicht durch. Die Prozesskosten sind ihm deshalb aufzuerlegen (Art. 450f ZGB i.V.m. Art. 6 Abs. 1 KESG). Die Prozesskosten werden pauschal auf CHF 300.- festgesetzt (Art. 95 und 96 ZPO i.V.m. Art. 19 Abs. 1 JR). (Dispositiv auf der nächsten Seite)</w:t>
      </w:r>
    </w:p>
    <w:p>
      <w:r>
        <w:t>Kantonsgericht KG Seite 8 von 8 Der Hof erkennt: I. Die Beschwerde vom 8. Februar 2017 wird abgewiesen. Der Entscheid des Friedensgerichts des Saanebezirks vom 27. Januar 2017 (Errichtung einer Vertretungsbeistandschaft mit Vermögensverwaltung und Ernennung einer Beiständin) wird bestätigt. II. Die Kosten des Beschwerdeverfahrens werden auf CHF 300.- festgesetzt und A.________ auferlegt. III.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16. Februar 2017/swo Präsidentin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