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2017 107 vom 22. Dezember 2017</w:t>
      </w:r>
    </w:p>
    <w:p>
      <w:r>
        <w:t>FR Kantonsgericht, 2017-12-22, FR</w:t>
      </w:r>
    </w:p>
    <w:p>
      <w:r>
        <w:rPr>
          <w:b/>
        </w:rPr>
        <w:t xml:space="preserve">Quelle: </w:t>
      </w:r>
      <w:r>
        <w:t>https://mcp.opencaselaw.ch/entscheid/fr_gerichte_106_2017_107</w:t>
      </w:r>
    </w:p>
    <w:p>
      <w:r>
        <w:t>FR: FR_GERICHTE 106 2017 107 du 22 décembre 2017</w:t>
      </w:r>
    </w:p>
    <w:p>
      <w:r>
        <w:t>IT: FR_GERICHTE 106 2017 107 del 22 dicembre 2017</w:t>
      </w:r>
    </w:p>
    <w:p>
      <w:pPr>
        <w:pStyle w:val="Heading2"/>
      </w:pPr>
      <w:r>
        <w:t>Regeste</w:t>
      </w:r>
    </w:p>
    <w:p>
      <w:r>
        <w:t>Arrêt de la Cour de protection de l'enfant et de l'adulte du Tribunal cantonal | Erwachsenenschutz</w:t>
      </w:r>
    </w:p>
    <w:p>
      <w:pPr>
        <w:pStyle w:val="Heading2"/>
      </w:pPr>
      <w:r>
        <w:t>Erwägungen</w:t>
      </w:r>
    </w:p>
    <w:p>
      <w:r>
        <w:rPr>
          <w:b/>
        </w:rPr>
        <w:t>E. 1.1</w:t>
      </w:r>
    </w:p>
    <w:p>
      <w:r>
        <w:t>Selon l'art. 8 de la loi du 15 juin 2010 concernant la protection de l'enfant et de l'adulte (LPEA), le Tribunal cantonal connaît des recours contre les décisions rendues par l'autorité de protection - soit la Justice de paix (art. 2 al. 1 LPEA) - ou par son président ou sa présidente. La Cour de protection de l'enfant et de l'adulte (art. 14 al. 1 let. c du Règlement du Tribunal cantonal du 22 novembre 2012 précisant son organisation et son fonctionnement [RTC]) est compétente pour statuer.</w:t>
      </w:r>
    </w:p>
    <w:p>
      <w:r>
        <w:rPr>
          <w:b/>
        </w:rPr>
        <w:t>E. 1.2</w:t>
      </w:r>
    </w:p>
    <w:p>
      <w:r>
        <w:t>En l'absence de dispositions cantonales contraires, les dispositions de la procédure civile s'appliquent par analogie (art. 450f CC).</w:t>
      </w:r>
    </w:p>
    <w:p>
      <w:r>
        <w:rPr>
          <w:b/>
        </w:rPr>
        <w:t>E. 1.3</w:t>
      </w:r>
    </w:p>
    <w:p>
      <w:r>
        <w:t>Le recours doit être déposé dans un délai de 30 jours à compter de la notification de la décision (art. 450b al. 1 CC). Adressé le 2 novembre 2017 par erreur à la Justice de paix qui l’a transmis à la Cour le 6 novembre 2017, le recours notifié aux recourants le 24 octobre 2017 a été interjeté en tant utile.</w:t>
      </w:r>
    </w:p>
    <w:p>
      <w:r>
        <w:rPr>
          <w:b/>
        </w:rPr>
        <w:t>E. 1.4</w:t>
      </w:r>
    </w:p>
    <w:p>
      <w:r>
        <w:t>Conformément à l'art. 450 al. 3 CC, le recours doit être dûment motivé. Une motivation sommaire, qui permet de déterminer l'objet du recours et dont on peut déduire la volonté de contester, en tout ou en partie, la décision prise, est suffisante (arrêt TF 5A_922/2015 du 4 février 2016 consid. 5.1 et les réf. citées). Le recours satisfait aux exigences de motivation.</w:t>
      </w:r>
    </w:p>
    <w:p>
      <w:r>
        <w:rPr>
          <w:b/>
        </w:rPr>
        <w:t>E. 1.5</w:t>
      </w:r>
    </w:p>
    <w:p>
      <w:r>
        <w:t>A.________ et B.________ ont qualité pour recourir (art. 450 al. 2 ch. 2 CC).</w:t>
      </w:r>
    </w:p>
    <w:p>
      <w:r>
        <w:rPr>
          <w:b/>
        </w:rPr>
        <w:t>E. 1.6</w:t>
      </w:r>
    </w:p>
    <w:p>
      <w:r>
        <w:t>La procédure de recours est régie par la maxime d'office et par la maxime inquisitoire. Le recours peut être formé pour violation du droit, constatation fausse ou incomplète des faits pertinents, et inopportunité de la décision (art. 450a al. 1 CC), de sorte que la Cour dispose d’un plein pouvoir d’examen.</w:t>
      </w:r>
    </w:p>
    <w:p>
      <w:r>
        <w:rPr>
          <w:b/>
        </w:rPr>
        <w:t>E. 1.7</w:t>
      </w:r>
    </w:p>
    <w:p>
      <w:r>
        <w:t>A défaut de disposition contraire du droit cantonal, la Cour peut statuer sans débats (art. 450f CC et 316 al. 1 CPC).</w:t>
      </w:r>
    </w:p>
    <w:p>
      <w:r>
        <w:rPr>
          <w:b/>
        </w:rPr>
        <w:t>E. 2.1</w:t>
      </w:r>
    </w:p>
    <w:p>
      <w:r>
        <w:t>Compte tenu de l’état de santé de A.________ et de B.________, la Justice de paix a considéré qu’ils ne sont pas à même d'assurer la sauvegarde de leurs intérêts de sorte qu’ils se trouvent dans un état de faiblesse et qu'il en découle un besoin de protection et d'assistance. Elle a donc institué une mesure de protection en leur faveur portant sur la gestion de leurs affaires administratives et financières afin de leur apporter la protection et l'aide nécessaires à leur bien- être personnel et matériel.</w:t>
      </w:r>
    </w:p>
    <w:p>
      <w:r>
        <w:rPr>
          <w:b/>
        </w:rPr>
        <w:t>E. 2.2</w:t>
      </w:r>
    </w:p>
    <w:p>
      <w:r>
        <w:t>Les recourants contestent la mesure de curatelle instituée. Ils allèguent, en substance, que B.________ est capable de discernement et qu’il est donc parfaitement en mesure d’accomplir la gestion des affaires du couple, ce qu’il a fait jusqu’à présent, étant précisé qu’ils n’ont pas de poursuites.</w:t>
      </w:r>
    </w:p>
    <w:p>
      <w:r>
        <w:t>Tribunal cantonal TC Page 5 de 7</w:t>
      </w:r>
    </w:p>
    <w:p>
      <w:r>
        <w:rPr>
          <w:b/>
        </w:rPr>
        <w:t>E. 2.3</w:t>
      </w:r>
    </w:p>
    <w:p>
      <w:r>
        <w:t>Selon l’art. 390 al. 1 ch.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La loi prévoit ainsi trois causes alternatives, à savoir la déficience mentale, les troubles psychiques ou tout autre état de faiblesse qui affecte la condition de la personne concernée. En outre, l'état de faiblesse doit entraîner un besoin de protection de la personne, savoir qu'il ait pour conséquence l'incapacité totale ou partielle de la personne concernée d'assurer elle-même la sauvegarde de ses intérêts ou de désigner un représentant pour gérer ses affaires. Bien que la loi ne le précise pas, il peut s'agir d'intérêts patrimoniaux et/ou personnels (MEIER/LUKIC, Introduction au nouveau droit de protection de l'adulte, 2011, n. 405, p. 193; Guide pratique COPMA, n. 5.10, p. 138). 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(MEIER, Droit de la protection de l’adulte, articles 360-456 CC, 2016 n. 681 p. 348). Si le soutien nécessaire peut déjà être apporté à la personne qui a besoin d’aide d’une autre façon – par la famille, par d’autres personnes proches ou par des services privés (Caritas, Pro Infirmis, CSP, Mente Sana, Spitex, etc.) ou publics (service d’aide sociale)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En bref, l’autorité de protection de l’adulte doit suivre le principe suivant: « assistance étatique autant que besoin est, et intervention étatique aussi rare que possible ». La mesure doit donc se trouver en adéquation avec le but fixé, représenter l'atteinte la plus faible possible pour être compatible avec celui-ci et rester dans un rapport raisonnable entre lui et l'atteinte engendrée. Ces principes valent également pour l’institution d’une curatelle de représentation selon l’art. 394 al. 1 CC (ATF 140 III 49 et réf. citées; arrêt TF 5A_356/2015 du 26 juin 2015 consid. 3.1 et les réf. citées). Une curatelle de représentation est instituée lorsque la personne qui a besoin d’aide ne peut accomplir certains actes et doit de ce fait être représentée (art. 394 al. 1 CC).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(art. 395 al. 1 CC). La curatelle de gestion constitue une forme spéciale de curatelle de représentation et non une mesure de protection distincte (JdT 2014 III p. 91 ss, 92 et réf. citées).</w:t>
      </w:r>
    </w:p>
    <w:p>
      <w:r>
        <w:rPr>
          <w:b/>
        </w:rPr>
        <w:t>E. 2.4</w:t>
      </w:r>
    </w:p>
    <w:p>
      <w:r>
        <w:t>En l’espèce, A.________ souffre d’obésité, d’hypertension, d’un trouble du métabolisme, d’un retard mental moyen ainsi que d’un trouble du comportement. Elle a été hospitalisée à deux reprises depuis le mois de mai 2017 et est activement suivie par le RSSG en ce sens qu’elle bénéficie d’une aide aux soins d’hygiène et cutanés, d’un contrôle de santé, d’une aide quotidienne dans la gestion de son traitement médicamenteux et du suivi d’une infirmière en psychiatrie. Selon le RSSG, A.________ est intellectuellement démunie. De plus, elle souffre d’achats compulsifs. Ainsi, il y a lieu de conclure que A.________ se trouve dans un état de faiblesse décrit par l’art. 390 al. 1 ch. 1 CC. De plus, il ressort du rapport du RSSG que la recourante ne pourrait pas vivre sans l’accompagnement, le soutien et les conseils de son époux duquel elle dépend entièrement. Le RSSG estime qu’une mesure de protection en faveur de</w:t>
      </w:r>
    </w:p>
    <w:p>
      <w:r>
        <w:t>Tribunal cantonal TC Page 6 de 7 A.________ est nécessaire. Le Dr F.________ est du même avis et relève que sa patiente n’est pas en mesure de gérer elle-même ses affaires, ni de désigner un mandataire pour le faire. S’il est ainsi certes établi que A.________ n’est pas en mesure de s’occuper seule de ses affaires administratives et financières, aucun élément ne permet de conclure que son époux ne serait pas en mesure d’assumer cette tâche pour le couple, avec une aide basique de son épouse et le soutien de tiers, ce qu’il a d’ailleurs fait jusqu’à présent. Certes, le Dr F.________ a indiqué que son patient souffre d’une ataxie importante sur atrophie cerebellaire d’origine alcoolique, d’une polyneuropathie et d’un carcinome épidermoïde du plancher buccal, du sinus piriforme et de l’épiglotte. Comme son épouse, il bénéficie de soins à domicile et ce, à raison de deux fois par semaine pour un contrôle de santé, des soins de sonde, des conseils et du soutien. Selon le Dr F.________, son état psychique est cependant stable et il est capable de discernement, même si un risque de rechute dans l’alcoolisme persiste. Le RSSG a de plus souligné que B.________ est autonome pour ses soins, pour l’organisation de ses rendez-vous et le paiement des factures. Il est le garant de la bonne marche du couple. C’est lui qui organise et valide toutes les décisions pour le couple. Selon le Dr F.________, B.________ aurait besoin d’aide pour la gestion de ses affaires financières et administratives car il ne peut pas écrire en raison de son ataxie. Ces seules difficultés dans la rédaction ne justifient toutefois pas l’institution d’une mesure de protection. En effet, les époux ont expliqué que c’est A.________, sur instruction de son époux, qui se charge de la rédaction pour les affaires du couple, comme lorsqu’elle inscrit les factures à payer dans carnet de poste. Les époux A.________ et B.________ peuvent également compter sur l’aide d’une amie, E.________, qui trie leur courrier et a rempli le carnet de poste pour B.________ lorsque son épouse était hospitalisée. Elle s’occupe également de l’entretien de leur ménage, conduit B.________ à ses rendez-vous médicaux et accompagne de temps en temps A.________ faire ses courses. B.________ a également affirmé être en contact avec Pro Infirmis et Pro Senectute et n’avoir aucune poursuite. Compte tenu de ces éléments, les affaires financières et administratives du couple semblent adéquatement prises en charge par le recourant, principalement avec l’aide de son épouse qui agit sous ses instructions, et parfois avec l’aide de E.________. A tout le moins, il ne ressort pas des rapports du Dr F.________ et du RSSG que tel ne serait pas le cas. Certes, l’état de santé des époux A.________ et B.________ n’est pas bon. Ils sont toutefois tous les deux soutenus par le RSSG, bénéficient plusieurs fois par semaine d’aides à domicile et disposent d’un suivi médical de sorte que du point de vu médical et social, ils sont adéquatement pris en charge. Si des carences ont parfois pu être constatées par le RSSG dans la tenue du ménage et l’alimentation peu équilibrée des époux, il n’en demeure pas moins que ces difficultés restent secondaires et ne concernent pas la gestion des affaires administratives ou financières de sorte que la curatelle instituée ne serait pas de nature à y remédier. Le RSSG a également rapporté que même si B.________ prend bien soin de son épouse, il a constaté qu’il s’oppose parfois à plus de soins en faveur de celle-ci. Rien ne vient toutefois étayer ce point, que la Justice de paix n’a pas instruit. Il en va de même de l’affirmation du RSSG selon laquelle le couple ferait confiance à des personnes de son entourage alors qu’il avait exprimé des soucis de vols par une personne aidante, d’autant que ces soupçons remontent à plusieurs années. Le RSSG justifie également le besoin de protection par le fait qu’en cas d’hospitalisation de B.________, qui est atteint d’un cancer, A.________ risque de se retrouver dans une situation précaire dès lors qu’elle dépend entièrement de son époux et qu’en raison de sa naïveté, elle pourrait également être en proie à des abus de confiance. La Cour ne peut que se rallier à ce constat. Cependant, il n’est pas établi que, à bref délai, l’époux ne sera plus à même de venir en aide à son épouse. L’intervention de la Justice de paix est partant prématurée.</w:t>
      </w:r>
    </w:p>
    <w:p>
      <w:r>
        <w:t>Tribunal cantonal TC Page 7 de 7 Il en découle que B.________, avec le soutien de son épouse et, ponctuellement, de E.________, est apte à prendre en charge la gestion administrative et financière du couple et capable de sauvegarder ses intérêts ainsi que ceux de son épouse. Dans ces circonstances, la curatelle de représentation avec gestion du patrimoine instaurée par la Justice de paix ne s’appuie sur aucune justification suffisante dans la mesure où elle va au-delà des besoins des recourants, de sorte que les principes de proportionnalité et de subsidiarité ne sont pas respectés. Tout au plus, une curatelle d’accompagnement aurait pu se justifier, avec le consentement des intéressées. Or, dans le cas présent, les recourants semblent s’opposer à toute mesure. Il s’ensuit l’admission du recours. Par voie de conséquence, la décision de la Justice de paix du 27 septembre 2017 est annulée et aucune mesure n’est instituée.</w:t>
      </w:r>
    </w:p>
    <w:p>
      <w:r>
        <w:rPr>
          <w:b/>
        </w:rPr>
        <w:t>E. 3</w:t>
      </w:r>
    </w:p>
    <w:p>
      <w:r>
        <w:t>Etant donné l'issue du litige, les frais judiciaires de la procédure de recours, fixés forfaitairement à CHF 400.-, sont laissés à la charge de l'Etat (art. 106 al. 1 CPC; art. 6 al. 1 LPEA; art. 19 al. 1 RJ). Il n’y a pas matière à dépens. la Cour arrête: I. Le recours est admis. Partant, la décision de la Justice de paix de l’arrondissement de la Gruyère du 27 septembre 2017 est annulée. II. Les frais judiciaires de la procédure de recours, fixés à CHF 400.-, sont mis à la charge de l’Etat.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décembre 2017/say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