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17 vom 20. Mai 2016</w:t>
      </w:r>
    </w:p>
    <w:p>
      <w:r>
        <w:t>FR Kantonsgericht, 2016-05-20, FR</w:t>
      </w:r>
    </w:p>
    <w:p>
      <w:r>
        <w:rPr>
          <w:b/>
        </w:rPr>
        <w:t xml:space="preserve">Quelle: </w:t>
      </w:r>
      <w:r>
        <w:t>https://mcp.opencaselaw.ch/entscheid/fr_gerichte_106_2016_17</w:t>
      </w:r>
    </w:p>
    <w:p>
      <w:r>
        <w:t>FR: FR_GERICHTE 106 2016 17 du 20 mai 2016</w:t>
      </w:r>
    </w:p>
    <w:p>
      <w:r>
        <w:t>IT: FR_GERICHTE 106 2016 17 del 20 maggio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Les décisions de l’autorité de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c du Règlement du Tribunal cantonal du 22 novembre 2012 précisant son organisation et son fonctionnement [RTC]). b) Compte tenu du suivi postal figurant au dossier (DO/52), il y a lieu d’admettre que le délai de recours de trente jours (art. 450b al. 1 CC) a été respecté. c) La qualité pour recourir de A.________ ne souffre aucune contestation (art. 450 al. 2 CC). d) A défaut de disposition contraire du droit cantonal, la Cour peut statuer sans débats (art. 450f CC et 316 al. 1 CPC). e) La procédure de recours est régie par la maxime d'office et par la maxime inquisitoire. La Cour dispose d'un plein pouvoir d'examen, en fait comme en droit (F. BOHNET, Autorités et procédure en matière de protection de l'adulte, in Le nouveau droit de la protection de l'adulte, 2012, p. 91 n. 175 s.). f) Le recours est suspensif à moins que l’autorité de protection de l’adulte ou l’instance judiciaire de recours n’en décide autrement (art. 450c CC).</w:t>
      </w:r>
    </w:p>
    <w:p>
      <w:r>
        <w:rPr>
          <w:b/>
        </w:rPr>
        <w:t>E. 2</w:t>
      </w:r>
    </w:p>
    <w:p>
      <w:r>
        <w:t>Même si les exigences de motivation ne doivent pas être trop élevées (STECK, Basler Kommentar, n. 42 ad art. 450 CC, p. 642), le recours doit être dûment motivé (art. 450 al. 3 CC). Si l'autorité de seconde instance peut impartir un délai au recourant pour rectifier des vices de forme, à l'instar de l'absence de signature, il ne saurait être remédié par ce biais à un défaut de motivation, un tel vice n'étant pas d'ordre purement formel et affectant le recours de manière irréparable (JEANDIN, CPC commenté, 2011, n. 5 ad art. 311 CPC, pp. 1251 et 1252 par analogie; JT 2011 III 184; arrêt TF 4A_659/2011 du 7 décembre 2011 c. 5, in Revue suisse de procédure civile [RSPC] 2012 p. 128 = SJ 2012 I 231).</w:t>
      </w:r>
    </w:p>
    <w:p>
      <w:r>
        <w:t>Tribunal cantonal TC Page 4 de 7 En l’espèce, l’acte de recours de A.________ ne contient aucune motivation idoine. Non seulement le recourant n’a pris aucune conclusion formelle à l’appui de son recours, mais de plus il n’a formulé aucun grief concret et intelligible, ayant un minimum de consistance, à l’encontre de la décision querellée. Il n’aborde pas, même sommairement, l’un ou l’autre des arguments invoqués par la Justice de paix pour ordonner la mesure contestée. Dans ce que l’on peut qualifier d’ébauche de motivation, il ne fait que substituer sa propre version des faits à celle de l’autorité intimée. Sa motivation est partant inexistante et ne saurait remplir les conditions de l’art. 450 al. 3 CC, même interprété très largement. Dès lors, à défaut de répondre aux exigences de cette disposition, son recours doit être déclaré irrecevable pour défaut de motivation.</w:t>
      </w:r>
    </w:p>
    <w:p>
      <w:r>
        <w:rPr>
          <w:b/>
        </w:rPr>
        <w:t>E. 3</w:t>
      </w:r>
    </w:p>
    <w:p>
      <w:r>
        <w:t>En tout état de cause, à supposer recevable, le recours aurait dû être rejeté, dans la mesure où il est mal fondé, la décision attaquée ne comportant en définitive aucune erreur tant dans l’application du droit que dans sa justification en fait. a) 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la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S’agissant tout particulièrement de cette dernière notion – soit tout autre état de faiblesse qui affecte la condition de la personne concernée –, il s'agit d'une formulation large, qui permet d'englober les handicaps physiques, les déficiences liées à l'âge et les cas extrêmes d'inexpérience ou de mauvaise gestion (MEIER/LUKIC, op. cit., n. 404, p. 192). La notion de faiblesse doit plutôt se fonder sur l'origine même de la faiblesse de l'intéressé que résulter des circonstances extérieures (MEIER, CommFam, n. 16 ad art. 390 CC). Cette notion résiduelle d'état de faiblesse doit être utilisée restrictivement, notamment pour les cas extrêmes d'inexpérience. En d'autres termes, une faiblesse de la volonté dans une situation financière peut justifier une curatelle de représentation; de même, le besoin de protection doit se mesurer au genre d'affaires que l'intéressé est appelé à gérer (STEINAUER/FOUNTOULAKIS, Droit des personnes physiques et de</w:t>
      </w:r>
    </w:p>
    <w:p>
      <w:r>
        <w:t>Tribunal cantonal TC Page 5 de 7 la protection de l'adulte, n. 133-134, p. 43-44). Pour fonder une curatelle, l’état de faiblesse doit avoir entraîné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COPMA, n. 5.10, p. 138).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il faut que la personne soit dans l’incapacité de gérer son patrimoine, quelles qu’en soient la composition et l’ampleur (MEIER/LUKIC, op. cit., n. 472-473, p. 219). L’autorité de protection doit déterminer les biens sur lesquels la curatelle de gestion va porter, soit l’ensemble du patrimoine de la personne, ou tout ou partie des revenus ou de la fortune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(MEIER/LUKIC, op. cit., n. 477, p. 221). Selon l’art. 389 CC, l’autorité de protection ordonne une mesure lorsque l’appui fourni à la personne ayant besoin d’aide par les membres de sa famille, par d’autres proches ou par des services publics ne suffit pas ou semble a priori insuffisante (al. 1 ch. 1). Une mesure de protection de l’adulte n’est ordonnée par l’autorité que si elle est nécessaire et appropriée (al. 2).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 377 et 382, p. 181 ss.). b) En l’espèce, il ressort indubitablement du dossier de la cause que A.________ se trouve dans un état de faiblesse qui affecte sa condition personnelle, de sorte que le besoin de protection est avéré. En effet, bien qu’il le conteste, A.________ ne semble pas saisir le sens, respectivement la portée, des informations et des propositions qui lui sont communiquées par les différents intervenants qui l’entourent – notamment par l’AI et le SEJ – et apparaît complètement démuni face à sa situation. Il semble également tout ignorer du fonctionnement des divers organismes de soutien, comme le laissent supposer ses propos lors de la séance du 10 décembre 2015 (DO/32 ss). A.________ n’est, pour l’heure, pas en mesure de gérer ses affaires et d’assurer lui-même la sauvegarde de ses intérêts, en particulier sous l’angle de sa formation et de son avenir professionnel, en raison d’une inexpérience caractérisée dans la gestion, voire d’une inexpérience générale, et d’une situation socio-familiale précaire.</w:t>
      </w:r>
    </w:p>
    <w:p>
      <w:r>
        <w:t>Tribunal cantonal TC Page 6 de 7 Ainsi, compte tenu de la situation du recourant, la curatelle de représentation avec gestion du patrimoine au sens des art. 394 et 395 CC, prononcée par la Justice de paix, ne prête pas le flanc à la critique. Les cercles de tâches confiés à la curatrice sont par ailleurs adaptés à la situation du recourant qui n'est actuellement pas capable d’entreprendre et de coordonner seul les démarches nécessaires auprès de différentes autorités administratives et de gérer seul sa situation financière, comme il l’a d’ailleurs confirmé en séance (DO/32 ss). La curatrice sera également un atout majeur dans la recherche d’une place d’apprentissage, démarche qui, dans le contexte actuel, n’a que très peu, voire aucune chance, d’aboutir, étant précisé que le recourant est désœuvré depuis près d’un an et demi maintenant. En outre, on ne voit pas quelle mesure moins incisive permettrait d’empêcher que la situation du recourant ne se détériore. En effet, le recourant s’oppose dans son recours à toute mesure de curatelle de sorte qu’une curatelle d’accompagnement, qui n’est instituée qu’avec le consentement de la personne qui a besoin d’aide et qui a pour but de l’assister par des conseils et de l’aide sans user de pouvoir coercitif (JdT 2014 III p. 91 ss, 91-92 et réf. citées), n’entre en l’état pas en ligne de compte. Ainsi, la mesure instituée respecte les principes de proportionnalité et de subsidiarité de l’art. 389 CC. Partant, c’est à bon droit que la Justice de paix a institué une curatelle de représentation avec gestion du patrimoine en faveur de A.________. Il s’ensuit le rejet du recours.</w:t>
      </w:r>
    </w:p>
    <w:p>
      <w:r>
        <w:rPr>
          <w:b/>
        </w:rPr>
        <w:t>E. 4</w:t>
      </w:r>
    </w:p>
    <w:p>
      <w:r>
        <w:t>Les frais judiciaires de recours, par CHF 100.-, sont mis à la charge de A.________, qui succombe (art. 106 al. 1 CPC et 6 al. 1 LPEA). (dispositif en page suivante)</w:t>
      </w:r>
    </w:p>
    <w:p>
      <w:r>
        <w:t>Tribunal cantonal TC Page 7 de 7 la Cour arrête: I. Le recours est irrecevable. II. Les frais de la procédure de recours sont mis à la charge de A.________. Les frais judiciaires dus à l’Etat sont fixés à CHF 100.- (émolument global).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mai 2016/lda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