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 vom 28. Januar 2016</w:t>
      </w:r>
    </w:p>
    <w:p>
      <w:r>
        <w:t>FR Kantonsgericht, 2016-01-28, FR</w:t>
      </w:r>
    </w:p>
    <w:p>
      <w:r>
        <w:rPr>
          <w:b/>
        </w:rPr>
        <w:t xml:space="preserve">Quelle: </w:t>
      </w:r>
      <w:r>
        <w:t>https://mcp.opencaselaw.ch/entscheid/fr_gerichte_106_2016_1</w:t>
      </w:r>
    </w:p>
    <w:p>
      <w:r>
        <w:t>FR: FR_GERICHTE 106 2016 1 du 28 janvier 2016</w:t>
      </w:r>
    </w:p>
    <w:p>
      <w:r>
        <w:t>IT: FR_GERICHTE 106 2016 1 del 28 gennaio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La décision du 28 septembre 2015 peut, en soi, faire l’objet d’un recours auprès du Tribunal cantonal (art. 314 al. 1 et 450 al. 1 CC ; art. 8 de la loi du 15 juin 2010 concernant la protection de l'enfant et de l'adulte [LPEA]). Elle a été notifiée le 24 décembre 2015, de sorte que le délai de trente jours (art. 450b al. 1 CC) a été respecté. La recourante a qualité pour recourir. b) Le recours traduit une opposition à une décision judiciaire et consiste à demander à l'autorité de recours qu'elle soit annulée ou modifiée. Un intérêt est cependant requis pour l'exercice de toute voie de droit (ATF 130 II 102 consid. 1.3). Le recourant doit dès lors avoir un</w:t>
      </w:r>
    </w:p>
    <w:p>
      <w:r>
        <w:t>Tribunal cantonal TC Page 3 de 3 intérêt à la modification du dispositif de la décision querellée, laquelle doit léser ses droits. A défaut, son recours est irrecevable (art. 450f CC et 59 al. 2 lit. a CPC). En l’espèce, comme la Juge de paix l’a relevé, la décision du 28 septembre 2015 ratifie complètement la convention signée par la recourante le 4 septembre 2015. La teneur du chiffre I du dispositif (p. 7) ne laisse planer aucun doute à ce propos. Il n’y a en outre aucune contradiction entre le dispositif et les motifs : les passages où il est précisé que la recourante ne souhaite pas toucher les allocations familiales pour D.________ et que « les parents feront le nécessaire pour transférer l’assurance-maladie au domicile du papa » (p. 3) ont trait à ce qui avait été prévu le 2 décembre 2013, non le 28 septembre 2015. A.________ n’a dès lors aucun intérêt à se plaindre de la décision du 28 septembre 2015. Il s’ensuit l’irrecevabilité du recours.</w:t>
      </w:r>
    </w:p>
    <w:p>
      <w:r>
        <w:rPr>
          <w:b/>
        </w:rPr>
        <w:t>E. 2</w:t>
      </w:r>
    </w:p>
    <w:p>
      <w:r>
        <w:t>A.________ aurait pu et dû demander des renseignements auprès de la Justice de paix avant de saisir l’autorité de recours si elle ne comprenait pas complètement sa décision. Elle a ainsi provoqué inutilement des frais, lesquels seront mis à sa charge (art. 106 al. 1 et 6 al. 1 LPEA). Ils seront toutefois fixés à CHF 100.-, soit au montant minimal (art. 19 al. 1 du règlement sur la justice [RJ]). la Cour arrête: I. Le recours est irrecevable. II. Les frais judiciaires, par CHF 100.-,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28 janvier 2016/jde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