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 vom 17. Februar 2015</w:t>
      </w:r>
    </w:p>
    <w:p>
      <w:r>
        <w:t>FR Kantonsgericht, 2015-02-17, FR</w:t>
      </w:r>
    </w:p>
    <w:p>
      <w:r>
        <w:rPr>
          <w:b/>
        </w:rPr>
        <w:t xml:space="preserve">Quelle: </w:t>
      </w:r>
      <w:r>
        <w:t>https://mcp.opencaselaw.ch/entscheid/fr_gerichte_106_2015_1</w:t>
      </w:r>
    </w:p>
    <w:p>
      <w:r>
        <w:t>FR: FR_GERICHTE 106 2015 1 du 17 février 2015</w:t>
      </w:r>
    </w:p>
    <w:p>
      <w:r>
        <w:t>IT: FR_GERICHTE 106 2015 1 del 17 febbraio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est compétente pour statuer.</w:t>
      </w:r>
    </w:p>
    <w:p>
      <w:r>
        <w:t>Tribunal cantonal TC Page 3 de 5 b) Toutes les décisions finales de l'autorité de protection peuvent faire l'objet d'un recours (art. 450 al. 1 et 314 al. 1 CC), de même que toutes les décisions relatives aux mesures provisionnelles (art. 445 al. 3 CC). Dans de tels cas, la cognition de la Cour de protection de l'enfant et de l'adulte est pleine et entière, en fait comme en droit (art. 450a CC). Les maximes inquisitoires et d'office, principes de la procédure de première instance, sont applicables devant l'instance judiciaire également (Message, p. 6715 s.; MEIER/LUKIC, Introduction au nouveau droit de la protection de l'adulte, Genève, Zurich, Bâle 2011, N 127; COPMA, Droit de la protection de l'adulte, Guide pratique, Zurich, St-Gall 2012, n° 12.34). c) Le recours doit être déposé dans un délai de 30 jours à compter de la notification de la décision (art. 450b al. 1 CC). Selon une jurisprudence constante, le fardeau de la preuve de la notification et de la date de celle-ci incombe en principe à l'autorité qui entend en tirer une conséquence juridique (ATF 124 V 400 consid. 2a; ATF 122 I 97 consid. 3b; ATF 114 III 51 consid. 3c et 4). En l’espèce, dès lors qu’aucun document au dossier ne permet d’établir à quelle date la décision du 11 novembre 2014 a été notifiée au recourant puisqu’elle lui a été adressée sous pli simple, il y a lieu de se fier aux indications fournies par le recourant qui allègue l’avoir reçue le 5 décembre 2014. Par voie de conséquence, déposé le lundi 5 janvier 2015, le recours a été déposé en temps utile (art. 450f CC et 142 al. 3 du Code de procédure civile [CPC]). d) Le curateur a qualité pour recourir (art. 450 al. 2 ch. 1 CC; CommFam Protection de l’adulte, D. STECK, art. 450 CC N 21). e) Le recours est motivé (art. 450 al. 3 CC), étant précisé que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(Message concernant la révision du code civil suisse (Protection de l'adulte, droit des personnes et droit de la filiation) du 28 juin 2006 in FF 2006 6635/6716). En l'occurrence, le recours satisfait aux exigences de motivation. f) En l'absence de dispositions cantonales contraires, les dispositions du CPC s'appliquent par analogie (art. 450f CC). Dès lors, il peut ainsi être statué sur pièces, sans tenir d'audience (art. 450f CC et 316 al.1 CPC).</w:t>
      </w:r>
    </w:p>
    <w:p>
      <w:r>
        <w:rPr>
          <w:b/>
        </w:rPr>
        <w:t>E. 2</w:t>
      </w:r>
    </w:p>
    <w:p>
      <w:r>
        <w:t>a) Le recourant se plaint du fait que la Justice de paix a retenu que les comptes présentés n’étaient formellement et matériellement pas conformes aux prescriptions légales au motif que les passifs de B.________ ne figuraient pas dans les comptes. Il soutient que les passifs n’ont pas été mentionnés dans les comptes finaux en raison du fait que B.________ n’avait aucune dette à la date de dépôt des comptes, le 13 octobre 2014. Partant, il requiert la réformation de la décision attaquée en ce sens que ses comptes finaux soient approuvés et que décharge lui soit donnée. b) La Cour constate en l’espèce une violation du droit d’être entendu du recourant – la Justice de paix a violé son obligation de motivation découlant des art. 238 s. CPC et de l'art. 29 Cst.(cf. infra) – qui, dans le cas présent, ne peut être réparée devant l’autorité de céans, ce qui doit dès lors conduire au renvoi de la cause à l'autorité précédente pour nouvelle décision. c) Le droit d'être entendu découlant de l'art. 29 al. 2 Cst. impose notamment à l'autorité de motiver sa décision. Cette obligation est remplie lorsque l'intéressé est mis en mesure d'en</w:t>
      </w:r>
    </w:p>
    <w:p>
      <w:r>
        <w:t>Tribunal cantonal TC Page 4 de 5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(ATF 137 II 266 consid. 3.2; ATF 136 I 229 consid. 5.2; ATF 135 III 670 consid. 3.3.1). Le droit d'être entendu est un grief de nature formelle, dont la violation entraîne l'annulation de la décision attaquée indépendamment des chances de succès du recours sur le fond (ATF 127 V 431 consid. 3d/aa). En bref, tel qu'il est garanti par l'art. 29 al. 2 Cst., le droit d'être entendu comprend notamment pour le justiciable le droit de s'exprimer sur les éléments pertinents avant qu'une décision ne soit prise touchant sa situation juridique.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ATF 133 I 201 consid. 2.2). b) En l’espèce, à la lecture de la décision attaquée, il y a lieu de constater que les motifs qui ont conduit la Justice de paix à refuser les comptes finaux présentés par A.________, respectivement à lui refuser sa décharge, sont incomplets, voire inexistants. En effet, il s’agit d’une ébauche de motivation dans la mesure où il est lapidairement indiqué que les comptes finaux "ne sont formellement et matériellement pas conformes aux prescriptions légales, les passifs de B.________ ne figurant pas aux comptes". Ce faisant, à aucun moment la Justice de paix ne décrit quels sont les passifs de B.________ que le curateur aurait omis de mentionner dans ses comptes, laissant ainsi au recourant et à la Cour la tâche de déterminer si B.________ a contracté des dettes et dans l’affirmative quelles sont-elles. Ainsi, elle ne critique pas concrètement la gestion du patrimoine effectuée par le curateur, ni n’examine, même superficiellement, la situation financière de B.________ en relation avec les comptes finaux établis par le curateur. Les premiers juges n’ont pas non plus estimé utile, comme ils pouvaient et devaient le faire, de requérir du curateur des explications sur les prétendues irrégularités de ses comptes (art. 415 al. 2 CC en relation avec l’art. 425 al. 2 CC). Seul l’extrait du registre des poursuites de la Gruyère figurant au dossier de B.________ pourrait éventuellement permettre de déterminer quels sont les passifs auxquels se réfère la Justice de paix dans sa décision dès lors que l’extrait fait état de plusieurs poursuites ouvertes à l’encontre de B.________. Il ne s’agit toutefois que de suppositions sur lesquelles la Cour et le recourant ne peuvent se fonder dans la mesure où la Justice de paix n’a aucunement mentionné cet extrait dans la décision attaquée et que cet extrait a été établi le 31 décembre 2014, soit après le prononcé de la décision attaquée. En définitive, en l’absence de motivation claire et substantielle, la Cour est dans l’impossibilité d’exercer un contrôle adéquat de la décision attaquée. Quant au curateur, en présence d’une décision dont la motivation est lacunaire, il lui était quasiment impossible de l’attaquer utilement, puisqu’il ignore ce qu’on lui reproche concrètement, ce qui ressort par ailleurs de son recours et du courrier qu’il a adressé à la Justice de paix lui demandant de lui communiquer la liste des passifs</w:t>
      </w:r>
    </w:p>
    <w:p>
      <w:r>
        <w:t>Tribunal cantonal TC Page 5 de 5 qui n’auraient pas été comptabilisés (courrier du 8.12.2014). Par voie de conséquence, il y a lieu de retenir la violation du droit d'être entendu garanti par l'art. 29 al. 2 Cst. Il s’ensuit l’admission du recours et l’annulation du chiffre I du dispositif de la décision attaquée, les autres n’étant pas contestés. La cause est renvoyée aux premiers juges pour nouvelle décision au sens des considérants.</w:t>
      </w:r>
    </w:p>
    <w:p>
      <w:r>
        <w:rPr>
          <w:b/>
        </w:rPr>
        <w:t>E. 3</w:t>
      </w:r>
    </w:p>
    <w:p>
      <w:r>
        <w:t>Les frais judiciaires, par 300 francs (émolument global), seront mis à la charge de l’Etat, le recours étant admis (art. 106 al. 1 CPC). Il ne sera pas alloué de dépens, aucun chef de conclusions n’ayant d’ailleurs été formulé dans ce sens (art. 6 al. 3 LPEA). la Cour arrête: I. Le recours est admis. Partant, le chiffre I du dispositif décision rendue le 11 novembre 2014 par la Justice de paix de l’arrondissement de la Gruyère est annulé et la cause lui est renvoyée pour nouvelle décision. II. Les frais de la procédure de recours sont mis à la charge de l’Etat. Les frais judiciaires sont fixés à 300 francs (émolument global).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