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87 vom 22. September 2025</w:t>
      </w:r>
    </w:p>
    <w:p>
      <w:r>
        <w:t>FR Kantonsgericht, 2025-09-22, FR</w:t>
      </w:r>
    </w:p>
    <w:p>
      <w:r>
        <w:rPr>
          <w:b/>
        </w:rPr>
        <w:t xml:space="preserve">Quelle: </w:t>
      </w:r>
      <w:r>
        <w:t>https://mcp.opencaselaw.ch/entscheid/fr_gerichte_105_2025_87</w:t>
      </w:r>
    </w:p>
    <w:p>
      <w:r>
        <w:t>FR: FR_GERICHTE 105 2025 87 du 22 septembre 2025</w:t>
      </w:r>
    </w:p>
    <w:p>
      <w:r>
        <w:t>IT: FR_GERICHTE 105 2025 87 del 22 settembre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14</w:t>
      </w:r>
    </w:p>
    <w:p>
      <w:r>
        <w:t>mars 2025, l’épouse du débiteur s’est présentée à l’Office qui lui a indiqué que ce dernier devait se présenter pour l’exécution de la saisie ou payer la créance. Le débiteur s’est présenté à l’Office dans la semaine du 17 au 21 mars 2025 afin de trouver un arrangement de paiement. Un accord de paiement sur deux mois, jusqu’à fin avril 2025, a été conclu avec le débiteur qui ne s’est toutefois pas exécuté. Le 13 mai 2025, sans nouvelles du débiteur, l’Office a entrepris des recherches à l’aide d’un avis de saisie d’une créance adressé à la banque E.________ et procédé aux mesures conservatoires. Sur la base de l’extrait bancaire, l’Office a prononcé une saisie de salaire auprès de la Caisse publique de chômage le 19 mai 2025. Le débiteur ne s’étant pas présenté à l’Office et n’ayant justifié aucune charge, seule la base mensuelle de CHF 1'700.- a été prise en compte pour le calcul du minimum vital. La décision de saisie de salaire a été notifiée au débiteur le 20 mai 2025. Le 11 juin 2025, la Caisse publique de chômage a informé l’Office que le débiteur n’était plus inscrit au chômage depuis le 1er juin 2025 car il avait repris un emploi. Le débiteur n’a pas informé l’Office de son changement de situation. Le 4 août 2025, un avis de saisie d’une créance a été envoyé à la banque E.________ dans le cadre d’investigations pour déterminer le revenu du débiteur et son employeur. Le 11 août 2025, un avis de saisie de salaire a été envoyé à l’employeur du débiteur qui ne s’était toujours pas présenté à l’Office pour justifier de ses charges de sorte que son minimum vital a été laissé à CHF 1'700.-. Le montant de CHF 104.44 versé par E.________ a été remboursé au débiteur. B. Par lettre du 24 août 2025, remise à la Poste, A.________ a déposé une « demande d’informations concernant la saisie et une plainte éventuelle selon l’art. 17 LP ». Il fait valoir que la retenue est trop élevée et ne lui laisse pas un minimum vital suffisant pour subvenir à ses charges essentielles. Il demande en outre l’identité du créancier poursuivant, l’origine et la justification de la dette mentionnée et le calcul ayant conduit au montant réclamé. Invité à se déterminer sur la plainte du 25 août 2025, l'Office a conclu à son rejet dans ses observations du 8 septembre 2025.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5 En l'espèce, la plainte du 25 août 2025 a été déposée en temps utile, dès lors que la décision de saisie de salaire attaquée du 11 août 2025 2025 à été notifiée au plaignant le 18 août 2025. 1.2. En tout état de cause, la plainte est recevable en tout temps lorsque la mesure attaquée est susceptible, comme le prétendent en définitive les plaignants, de porter une atteinte flagrante à leur minimum vital et de les placer dans une situation intolérable (art. 22 LP; ATF 114 III 78 consid. 3; BSK SchKG II – VONDER MÜHLL, 3e éd. 2021, art. 93 n. 66).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2. Le plaignant reproche à l’Office d’avoir procédé à une saisie trop élevée qui ne lui laisse pas un minimum vital suffisant pour subvenir à ses charges essentielles. 2.1.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 3e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(CR LP-OCHSNER, 2005, art. 93 n. 198). 2.2. Avec l'Office, la Chambre constate que le plaignant ne collabore pas et n’a pas daigné se présenter à l’Office pour exposer sa situation professionnelle et financière, afin de permettre la détermination de ses ressources, de son minimum vital et de la quotité saisissable de ses revenus. Il a demandé un arrangement de paiement qu’il n’a pas respecté et n’a même pas informé l’Office de son changement d’emploi. Compte tenu de l’absence totale de collaboration du débiteur, la fixation de son minimum vital, telle qu’opérée par l’Office, ne comporte aucune erreur, que ce soit dans l’application du droit et/ou dans</w:t>
      </w:r>
    </w:p>
    <w:p>
      <w:r>
        <w:t>Tribunal cantonal TC Page 4 de 5 sa justification en fait. Il suffit dès lors de renvoyer à la détermination de l’Office du 8 septembre 2025, tout en soulignant que, de jurisprudence constante, seules les charges effectivement payées par le débiteur peuvent être prises en considération dans le calcul de son minimum vital d’existence. Cela signifie que le débiteur est tenu de produire les justificatifs de paiements concernés, en vertu de son devoir de collaboration. Il incombait au plaignant, sauf à violer son devoir de collaboration, de produire toutes les pièces utiles à l'établissement de son minimum vital d’existence, ce qu’il n’a pas fait, de sorte qu’il est malvenu de s’en plaindre. Il s'ensuit le rejet de la plainte et la confirmation de la saisie de salaire attaquée. 3. A.________ est invité à se présenter à l’Office pour établir sa situation financière avec toutes les pièces justificatives utiles dans le cadre de la poursuite no bbb dont le créancier est C.________, représentée par D.________, pour une créance de CHF 1'005.-, plus intérêts et frais, conformément aux indications figurant sur l’avis de saisie du 28 février 2025 (P. 1 de l’Office) et sur le solde d’une poursuite (P. 2 de l’Office). 4.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