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75 vom 12. August 2025</w:t>
      </w:r>
    </w:p>
    <w:p>
      <w:r>
        <w:t>FR Kantonsgericht, 2025-08-12, FR</w:t>
      </w:r>
    </w:p>
    <w:p>
      <w:r>
        <w:rPr>
          <w:b/>
        </w:rPr>
        <w:t xml:space="preserve">Quelle: </w:t>
      </w:r>
      <w:r>
        <w:t>https://mcp.opencaselaw.ch/entscheid/fr_gerichte_105_2025_75</w:t>
      </w:r>
    </w:p>
    <w:p>
      <w:r>
        <w:t>FR: FR_GERICHTE 105 2025 75 du 12 août 2025</w:t>
      </w:r>
    </w:p>
    <w:p>
      <w:r>
        <w:t>IT: FR_GERICHTE 105 2025 75 del 12 agosto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délai que le plaignant a manifestement respecté.</w:t>
      </w:r>
    </w:p>
    <w:p>
      <w:r>
        <w:rPr>
          <w:b/>
        </w:rPr>
        <w:t>E. 2</w:t>
      </w:r>
    </w:p>
    <w:p>
      <w:r>
        <w:t>Le plaignant fait valoir pour l’essentiel que la saisie de salaire litigieuse porte atteinte à son minimum vital, puisque celui-ci n’a pas été fixé conformément à la réalité de sa situation matérielle.</w:t>
      </w:r>
    </w:p>
    <w:p>
      <w:r>
        <w:rPr>
          <w:b/>
        </w:rPr>
        <w:t>E. 2.1</w:t>
      </w:r>
    </w:p>
    <w:p>
      <w:r>
        <w:t>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 SchKG I - VONDER MÜHLL ,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 en considération (cf. CR LP – OCHSNER, 2005, art. 93 n. 81).</w:t>
      </w:r>
    </w:p>
    <w:p>
      <w:r>
        <w:t>Tribunal cantonal TC Page 3 de 5 Quant au montant à saisir, la saisie doit porter sur l’intégralité de la quotité saisissable et permettre le plus rapide désintéressement des créanciers, ceci afin de préserver les intérêts des créanciers des séries postérieures (CR LP-OCHSNER, 2005, art. 93 n. 198).</w:t>
      </w:r>
    </w:p>
    <w:p>
      <w:r>
        <w:rPr>
          <w:b/>
        </w:rPr>
        <w:t>E. 2.2</w:t>
      </w:r>
    </w:p>
    <w:p>
      <w:r>
        <w:t>En l’espèce, quoi qu’en dise ou pense le plaignant, la fixation de son minimum vital, telle qu’opérée par l’Office, ne comporte aucune erreur, que ce soit dans l’application du droit et/ou dans sa justification en fait. Il suffit dès lors de renvoyer à la détermination de l’Office du 17 juillet 2025, tout en soulignant que, de jurisprudence constante, le débiteur qui fait l'objet d'une saisie doit restreindre son train de vie et s'en sortir avec le minimum d'existence qui lui est reconnu. Cela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des poursuites pourra réduire le loyer excessif à un montant correspondant à la situation familiale du débiteur et aux loyers usuels du lieu (cf. arrêt TF 5A_912/2018 du 16 janvier 2019 consid. 3.1.2).</w:t>
      </w:r>
    </w:p>
    <w:p>
      <w:r>
        <w:rPr>
          <w:b/>
        </w:rPr>
        <w:t>E. 2.3</w:t>
      </w:r>
    </w:p>
    <w:p>
      <w:r>
        <w:t>En l’occurrence, pour ce qui est du loyer, force est de constater que le débiteur a bénéficié d’une certaine mansuétude de la part de l’Office qui a retenu la participation au loyer mensuel alléguée de CHF 1'600.- sur la base de ses seules déclarations et d’une attestation signée par sa compagne, loyer qui semble excessif compte tenu des circonstances. En effet, il y a lieu de préciser que le débiteur vit avec sa compagne dans une habitation individuelle dont elle est propriétaire. Or, il est très vraisemblable que les charges immobilières payées par la propriétaire de l’immeuble n’atteignent pas le montant de CHF 1'600.- par mois vu notamment le niveau actuellement bas des intérêts hypothécaires, étant rappelé que cette dernière prétend que le plaignant lui verse ce montant à titre de participation au loyer. Quoi qu’il en soit, la problématique liée aux charges soulevée par le plaignant peut souffrir de demeurer indécise, dans la mesure où il appartenait au débiteur de produire les justificatifs de paiements concernés, en vertu de son devoir de collaboration, comme l’Office l’a d’ailleurs expressément relevé à juste titre dans sa détermination du 17 juillet 2025. D’une manière générale, il semble utile de rappeler qu’il incombe au plaignant, sauf à violer son devoir de collaboration, de produire toutes les pièces utiles à l'établissement de son minimum vital d’existence, ce qu’il n’a pas fait – il ne prétend d’ailleurs pas le contraire –, de sorte qu’il est malvenu de s’en plaindre.</w:t>
      </w:r>
    </w:p>
    <w:p>
      <w:r>
        <w:rPr>
          <w:b/>
        </w:rPr>
        <w:t>E. 2.4</w:t>
      </w:r>
    </w:p>
    <w:p>
      <w:r>
        <w:t>S’agissant des frais d’entretien de son fils, il suffit de constater, à l’instar de l’Office, que l’obligation d’entretien envers un enfant majeur présuppose que celui-ci ait moins de 25 ans et qu’il n’ait pas encore achevé une première formation dans des délais raisonnables. Or, selon les propres déclarations du débiteur, son fils ne se trouve pas dans une telle configuration, puisqu’il est né en 1998 et qu’il effectue des petits emplois, de sorte qu’il ne saurait être retenu qu’il est encore à charge du débiteur.</w:t>
      </w:r>
    </w:p>
    <w:p>
      <w:r>
        <w:rPr>
          <w:b/>
        </w:rPr>
        <w:t>E. 2.5</w:t>
      </w:r>
    </w:p>
    <w:p>
      <w:r>
        <w:t>S’agissant des primes d’assurance protection juridique ainsi que l'assurance souscrite auprès de B.________, c’est également à bon droit que l’Office a rappelé et retenu que, de jurisprudence constante, les primes à payer pour des assurances non obligatoires ne peuvent pas être prises en compte dans le calcul du minimum vital (ATF 134 III 323 ss).</w:t>
      </w:r>
    </w:p>
    <w:p>
      <w:r>
        <w:rPr>
          <w:b/>
        </w:rPr>
        <w:t>E. 2.6</w:t>
      </w:r>
    </w:p>
    <w:p>
      <w:r>
        <w:t>De même, c’est à bon droit que l’Office a considéré et retenu que les frais liés aux animaux de compagnie ne sont généralement pas inclus dans le minimum vital (ATF 128 III 337 consid. 3d ; arrêt TF 5A_698/2009 du 3 mars 2010, BlSchK 2011 p. 47).</w:t>
      </w:r>
    </w:p>
    <w:p>
      <w:r>
        <w:t>Tribunal cantonal TC Page 4 de 5</w:t>
      </w:r>
    </w:p>
    <w:p>
      <w:r>
        <w:rPr>
          <w:b/>
        </w:rPr>
        <w:t>E. 2.7</w:t>
      </w:r>
    </w:p>
    <w:p>
      <w:r>
        <w:t>S’agissant de ses griefs au sujet des frais de transport et en particulier de son véhicule, force est de constater que son argumentation frise la témérité. Réduit au strict minimum vital en raison des saisies litigieuses, le plaignant doit se serrer la ceinture. La loi garantit, certes, au débiteur la possibilité de mener une existence décente, mais ne le protège pas contre la perte des commodités de la vie (cf. arrêt TF 5A_35/2015 du 13 janvier 2016 consid. 5.1). Or, compte tenu des circonstances du cas d’espèce, notamment du montant des poursuites en cours et du fait que le débiteur émarge actuellement à l’assurance-chômage, le montant forfaitaire de CHF 150.- pris en considération par l’Office pour couvrir ses frais liés à une recherche d’emploi ne prête pas le flanc à la critique, ce d’autant que la nécessité d’acquérir un véhicule neuf d’une valeur de CHF 62'000.- interpelle, puisqu’un tel véhicule peut – et doit – être considéré comme luxueux au vu des circonstances du cas d’espèce. À cet égard, c’est le lieu de relever que le débiteur fait actuellement l’objet de nombreuses poursuites pour des montants importants – soit à hauteur de plusieurs dizaines de milliers de francs (cf. liste des affaires en cours établie par l’Office au 17 juillet 2025) – et qu’il ne semble avoir entrepris aucune démarche sérieuse pour réduire son train de vie, bien au contraire.</w:t>
      </w:r>
    </w:p>
    <w:p>
      <w:r>
        <w:rPr>
          <w:b/>
        </w:rPr>
        <w:t>E. 2.8</w:t>
      </w:r>
    </w:p>
    <w:p>
      <w:r>
        <w:t>Enfin, c’est d’une manière qui ne prête pas le flanc à la critique et par ailleurs totalement conforme aux lignes directrices pour le calcul du minimum d'existence en matière de poursuite que l’Office a rappelé que les frais pour l'alimentation, les vêtements et le linge, y compris leur entretien, les soins corporels et de santé, l'entretien du logement, les assurances privées, les frais culturels ainsi que les dépenses pour l'éclairage, le courant électrique ou le gaz pour cuisiner sont inclus dans le montant de la base mensuelle. Ce montant de base comprend également les frais de téléphone et d’internet (arrêt TC FR 105 2023 94 du 23 août 2023 consid. 2.3 ; 105 2021 102 du 23 décembre 2021 consid. 3.2.3 ; 105 2019 92 du 7 août 2019 consid. 4.2), de sorte qu’il n’y a pas lieu de prendre en compte ces frais de manière séparée. En outre, l’Office a ajouté un montant de CHF 50.- pour frais divers. Il s'ensuit le rejet de la plainte et la confirmation de la saisie de salaire attaquée.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5 de 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août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