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119 vom 11. Dezember 2025</w:t>
      </w:r>
    </w:p>
    <w:p>
      <w:r>
        <w:t>FR Kantonsgericht, 2025-12-11, FR</w:t>
      </w:r>
    </w:p>
    <w:p>
      <w:r>
        <w:rPr>
          <w:b/>
        </w:rPr>
        <w:t xml:space="preserve">Quelle: </w:t>
      </w:r>
      <w:r>
        <w:t>https://mcp.opencaselaw.ch/entscheid/fr_gerichte_105_2025_119</w:t>
      </w:r>
    </w:p>
    <w:p>
      <w:r>
        <w:t>FR: FR_GERICHTE 105 2025 119 du 11 décembre 2025</w:t>
      </w:r>
    </w:p>
    <w:p>
      <w:r>
        <w:t>IT: FR_GERICHTE 105 2025 119 del 11 dicembre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ce d’autant qu’elle peut être déposée en tout temps lorsque la décision attaquée est susceptible, comme l’affirme le plaignant en définitive, d’affecter son minimum vital d’existence. Dûment motivée et dotée de conclusions, la plainte est au surplus recevable en la forme.</w:t>
      </w:r>
    </w:p>
    <w:p>
      <w:r>
        <w:t>Tribunal cantonal TC Page 3 de 4</w:t>
      </w:r>
    </w:p>
    <w:p>
      <w:r>
        <w:rPr>
          <w:b/>
        </w:rPr>
        <w:t>E. 2.1</w:t>
      </w:r>
    </w:p>
    <w:p>
      <w:r>
        <w:t>L'art.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et les références citées).</w:t>
      </w:r>
    </w:p>
    <w:p>
      <w:r>
        <w:rPr>
          <w:b/>
        </w:rPr>
        <w:t>E. 2.2</w:t>
      </w:r>
    </w:p>
    <w:p>
      <w:r>
        <w:t>En l’espèce, A.________ avait droit pour les mois d’octobre et novembre 2025 à la somme totale de CHF 11’000.- (2 x CH 5’500.-), le solde étant saisissable. Or, pour le mois d’octobre 2025, B.________ lui a versé la totalité de ses indemnités journalières, soit CHF 6’559.80. Puis, pour le mois de novembre 2025, elle lui a versé un montant de CHF 4'400.20, opérant la retenue en faveur de l’Office pour les mois d’octobre et novembre 2025. Il s’avère donc que A.________ a bénéficié du minimum vital sur toute la période en cause. C’était à lui de répartir les indemnités perçues en plein au mois d’octobre sur le mois suivant pour couvrir son minimum vital. En effet, la décision de saisie de salaire du 13 octobre 2025 lui avait été communiquée et en recevant le montant de CHF 6'559.80 pour le mois d’octobre, il savait qu’aucune retenue en faveur de l’Office n’avait été opérée pour ce mois. Par conséquent, il lui appartenait, soit de verser lui-même à l’Office la différence entre le montant perçu et le montant de son minimum vital fixé à CHF 5'500.-, soit de conserver ce montant pour compléter le minimum vital de novembre qui serait nécessairement amputé par la retenue qui n’a pas été effectuée en octobre. Contrairement à ce qu’affirme le plaignant, le minimum vital a été garanti en octobre et en novembre dans la mesure où il savait qu’il avait perçu plus que son minimum vital en octobre. La façon de procéder de l’Office ne prête pas le flanc à la critique. La plainte doit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Partant, la décision du 12 novembre 2025 de l’Office des poursuites de la Gruyère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décembre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