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117 vom 16. Dezember 2025</w:t>
      </w:r>
    </w:p>
    <w:p>
      <w:r>
        <w:t>FR Kantonsgericht, 2025-12-16, DE</w:t>
      </w:r>
    </w:p>
    <w:p>
      <w:r>
        <w:rPr>
          <w:b/>
        </w:rPr>
        <w:t xml:space="preserve">Quelle: </w:t>
      </w:r>
      <w:r>
        <w:t>https://mcp.opencaselaw.ch/entscheid/fr_gerichte_105_2025_117</w:t>
      </w:r>
    </w:p>
    <w:p>
      <w:r>
        <w:t>FR: FR_GERICHTE 105 2025 117 du 16 décembre 2025</w:t>
      </w:r>
    </w:p>
    <w:p>
      <w:r>
        <w:t>IT: FR_GERICHTE 105 2025 117 del 16 dicembre 2025</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Betreibungsamtes mit Beschwerde an die Schuldbetreibungs- und Konkurskammer des Kantonsgerichts als Aufsichtsbehörde gelangt werden (Art. 17 Abs. 1 SchKG; Art. 13 SchKG i.V.m. Art. 5 des Ausführungsgesetzes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 Wegen Rechtsverweigerung oder Rechtsverzögerung kann jederzeit Beschwerde geführt werden (Art. 17 Abs. 3 SchKG).</w:t>
      </w:r>
    </w:p>
    <w:p>
      <w:r>
        <w:rPr>
          <w:b/>
        </w:rPr>
        <w:t>E. 1.2</w:t>
      </w:r>
    </w:p>
    <w:p>
      <w:r>
        <w:t>Die Pfändungsankündigung vom 16. Oktober 2025 wurde gemäss Angaben des Betreibungsamtes mit A-Post versendet, weshalb diese grundsätzlich am nächsten Werktag im Briefkasten des Beschwerdeführers gewesen sein müsste. Dieser gibt an, die Pfändungsankündigung am 6. November 2025 abgeholt und am 7. November 2025 gelesen zu haben. Wo der Beschwerdeführer die Pfändungsankündigung am 6. November 2025 abgeholt haben will, wenn diese mit A-Post versendet wurde, erschliesst sich nicht. Da die Pfändungsankündigung nicht eingeschrieben verschickt wurde, liegt aber auch kein Beleg für eine frühere Zustellung vor. Die Frage, ob die Beschwerde rechtzeitig eingereicht wurde oder ob es sich um eine Beschwerde wegen Rechtsverweigerung handelt, die an keine Frist gebunden ist, kann vorliegend offen gelassen werden, weil auf die Beschwerde wie nachfolgend dargelegt, so oder anders nicht einzutreten ist. Kantonsgericht KG Seite 3 von 4</w:t>
      </w:r>
    </w:p>
    <w:p>
      <w:r>
        <w:rPr>
          <w:b/>
        </w:rPr>
        <w:t>E. 2</w:t>
      </w:r>
    </w:p>
    <w:p>
      <w:r>
        <w:t>Aus der Beschwerdeschrift muss ersichtlich sein, gegen welchen Entscheid sie sich richtet, was daran falsch sein soll und was der Beschwerdeführer verlangt. An die Begründung der Beschwerde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 Der Beschwerdeführer erklärt in seiner Eingabe vom 7. November 2025, «Einspruch gegen die Letzte und alle vorangegangenen unzähligen rechtswidrigen Pfändungen und denen daraus folgenden Verlustscheinen» zu erheben. Einleitend kommentiert der Beschwerdeführer die deutsche Übersetzung mit ironischem Unterton. Was am Hinweis, «Wenn sich Ihre Verhältnisse nicht geändert haben, was Sie uns mitteilen müssen, wird ein Verlustschein ausgestellt.» nicht verständlich sein soll, ist nicht ersichtlich; die Aussage ist klar und korrekt formuliert. Gleiches gilt für die Teilnahme der Pfändungsankündigung für den Forderungsbetrag von CHF 5'035.35. Weiter schildert der Beschwerdeführer in breiten und abschätzigen Ausführungen seinen Unmut gegenüber dem Staat und den Gerichten und macht diese für seine finanzielle Situation verantwortlich, ohne sich dabei mit den massgeblichen rechtlichen Fragen auseinanderzusetzen. Seine Ausführungen werden auch den niedrigen Anforderungen an eine Beschwerde nach Art. 17 SchKG nicht gerecht. Die Beschwerde enthält keine Begründung und keine Kritik an der angefochtenen Pfändungsankündigung. Im Gegenteil, der Beschwerdeführer kommt der Aufforderung zur Mitteilung unveränderter Verhältnisse nach, indem er ausführt, die Verhältnisse hätten sich nicht geändert und würden sich auch nie mehr ändern. Auf die Beschwerde kann folglich mangels Begründung nicht eingetreten werden. Auf seinen Antrag, ihm sei ein Anwalt zu bezahlen, der die Sache vor den EGMR bringe und die Beschwerde formgerecht ausarbeite und mit Beweisen versehe, ist in einem kostenlosen Verfahren mit niedrigen Anforderungen ebenso nicht einzutreten.</w:t>
      </w:r>
    </w:p>
    <w:p>
      <w:r>
        <w:rPr>
          <w:b/>
        </w:rPr>
        <w:t>E. 3</w:t>
      </w:r>
    </w:p>
    <w:p>
      <w:r>
        <w:t>Das Verfahren ist kostenlos (Art. 20a Abs. 2 Ziff. 5 SchKG). (Dispositiv auf nachfolgender Seite) Kantonsgericht KG Seite 4 von 4 Die Kammer erkennt: I. Auf die Beschwerde vom 10. November 2025 wird nicht eingetreten. II. Es werden keine Kosten erhoben. III.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16. Dezember 2025/fju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