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96 vom 5. November 2024</w:t>
      </w:r>
    </w:p>
    <w:p>
      <w:r>
        <w:t>FR Kantonsgericht, 2024-11-05, FR</w:t>
      </w:r>
    </w:p>
    <w:p>
      <w:r>
        <w:rPr>
          <w:b/>
        </w:rPr>
        <w:t xml:space="preserve">Quelle: </w:t>
      </w:r>
      <w:r>
        <w:t>https://mcp.opencaselaw.ch/entscheid/fr_gerichte_105_2024_96</w:t>
      </w:r>
    </w:p>
    <w:p>
      <w:r>
        <w:t>FR: FR_GERICHTE 105 2024 96 du 5 novembre 2024</w:t>
      </w:r>
    </w:p>
    <w:p>
      <w:r>
        <w:t>IT: FR_GERICHTE 105 2024 96 del 5 novembre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A titre liminaire, il se justifie, à des fins d’économie de procédure, de joindre les causes n° ccc et n° ddd et de statuer en un seul et même arrêt, dès lors que les plaintes du 16 septembre 2024 sont identiques, soulèvent les mêmes griefs et concernent les mêmes parties sur la base d’un même complexe de faits.</w:t>
      </w:r>
    </w:p>
    <w:p>
      <w:r>
        <w:rPr>
          <w:b/>
        </w:rPr>
        <w:t>E. 1.2</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il faut admettre que les plaintes du 16 septembre 2024 ont été déposées en temps utile, dès lors que les décisions de saisie de salaire attaquées du 9 septembre 2024 ont été notifiées aux plaignants le lendemain au plus tôt. En tout état de cause, la plainte est recevable en tout temps lorsque la mesure attaquée est susceptible, comme le prétendent en définitive les plaignants, de porter une atteinte flagrante à leur minimum vital et de les placer dans une situation intolérable (art. 22 LP; ATF 114 III 78 consid. 3; BSK SchKG II – VONDER MÜHLL, 3e éd. 2021, art. 93 n. 66).</w:t>
      </w:r>
    </w:p>
    <w:p>
      <w:r>
        <w:rPr>
          <w:b/>
        </w:rPr>
        <w:t>E. 2</w:t>
      </w:r>
    </w:p>
    <w:p>
      <w:r>
        <w:t>Pour peu que l’on comprenne leur argumentation, les plaignants reprochent à l’Office d’avoir écarté des charges sans raison valable ou alors de les avoir mal appréciées.</w:t>
      </w:r>
    </w:p>
    <w:p>
      <w:r>
        <w:t>Tribunal cantonal TC Page 3 de 4</w:t>
      </w:r>
    </w:p>
    <w:p>
      <w:r>
        <w:rPr>
          <w:b/>
        </w:rPr>
        <w:t>E. 2.1</w:t>
      </w:r>
    </w:p>
    <w:p>
      <w:r>
        <w:t>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(ATF 112 III 79 consid. 2 et les arrêts cités). Si des changements interviennent en cours de saisie, le débiteur ou le créancier doit demander à l'office des poursuites une révision de situation au sens de l'art. 93 al. 3 LP (cf. BSK SchKG I - VONDER MÜHLL , 3ème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w:t>
      </w:r>
    </w:p>
    <w:p>
      <w:r>
        <w:rPr>
          <w:b/>
        </w:rPr>
        <w:t>E. 2.2</w:t>
      </w:r>
    </w:p>
    <w:p>
      <w:r>
        <w:t>En l’espèce et quoi qu’en pensent les plaignants, la fixation de leur minimum vital, telle qu’opérée par l’Office, ne comporte aucune erreur, que ce soit dans l’application du droit et/ou dans sa justification en fait. Il suffit dès lors de renvoyer à la détermination de l’Office du 16 septembre 2024, tout en soulignant que seules les primes de l’assurance-maladie effectivement payées par les débiteurs peuvent être prises en considération dans le calcul de leur minimum vital d’existence. Il en va de même des autres charges alléguées par les intéressés qui, comme le relève l’Office à juste titre, sont tenus de produire les justificatifs de paiements concernés, en vertu de leur devoir de collaboration. Autrement dit, il incombait aux plaignants, sauf à violer leur devoir de collaboration, de produire toutes les pièces utiles à l'établissement de leur minimum vital d’existence, ce qu’ils n’ont pas fait – ils ne prétendent d’ailleurs pas le contraire –, de sorte qu’ils sont malvenus de s’en plaindre. Quant aux frais liés à la connexion internet ou d’électricité, tout comme les frais liés à l’assurance ménage, ils sont inclus dans la base mensuelle et ne doivent donc pas être pris en compte. Il s’ensuit le rejet des deux plaintes.</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 RS 281.35]). (dispositif en page suivante)</w:t>
      </w:r>
    </w:p>
    <w:p>
      <w:r>
        <w:t>Tribunal cantonal TC Page 4 de 4 la Chambre arrête : I. Les causes n° ccc et n° ddd sont jointes. II. Les plaintes sont rejetées.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novembre 2024/lda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