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74 vom 5. September 2024</w:t>
      </w:r>
    </w:p>
    <w:p>
      <w:r>
        <w:t>FR Kantonsgericht, 2024-09-05, FR</w:t>
      </w:r>
    </w:p>
    <w:p>
      <w:r>
        <w:rPr>
          <w:b/>
        </w:rPr>
        <w:t xml:space="preserve">Quelle: </w:t>
      </w:r>
      <w:r>
        <w:t>https://mcp.opencaselaw.ch/entscheid/fr_gerichte_105_2024_74</w:t>
      </w:r>
    </w:p>
    <w:p>
      <w:r>
        <w:t>FR: FR_GERICHTE 105 2024 74 du 5 septembre 2024</w:t>
      </w:r>
    </w:p>
    <w:p>
      <w:r>
        <w:t>IT: FR_GERICHTE 105 2024 74 del 5 settembre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qui est le cas en l’espèce. Motivée et dotée de conclusions, la plainte est au surplus recevable en la forme.</w:t>
      </w:r>
    </w:p>
    <w:p>
      <w:r>
        <w:rPr>
          <w:b/>
        </w:rPr>
        <w:t>E. 2.1</w:t>
      </w:r>
    </w:p>
    <w:p>
      <w:r>
        <w:t>Dans la décision attaquée, l’Office a fixé le revenu du plaignant à CHF 7'593.75 et celui de son fils B.________ à CHF 1'760.-. Son épouse et son deuxième fils, C.________, n’ont pas d’activité lucrative. S’agissant de ses charges, l’Office a tenu compte de la base mensuelle du couple par CHF 1'700.-, d’un supplément de CHF 1'200.- pour les deux enfants à charge (C.________ et D.________), de son loyer par CHF 1'600.- (en déduisant une participation de CHF 400.- pour l’enfant majeur B.________), des cotisations sociales par CHF 867.30, des repas pris hors du domicile par CHF 217.-, des déplacements jusqu’au lieu de travail en transport privé par CHF 280.- , des frais de représentation non remboursés par l’employeur et de CHF 150.- pour des autres frais. L’Office en a conclu que le débiteur avait un revenu mensuel saisissable de CHF 1'420.75 et a arrêté la saisie à tout montant dépassant le minimum vital de CHF 6’173.-.</w:t>
      </w:r>
    </w:p>
    <w:p>
      <w:r>
        <w:rPr>
          <w:b/>
        </w:rPr>
        <w:t>E. 2.2</w:t>
      </w:r>
    </w:p>
    <w:p>
      <w:r>
        <w:t>En substance, le plaignant fait valoir que sa saisie de salaire le place dans une situation difficile et le laisse sans les ressources suffisantes afin de vivre convenablement. Il reproche à</w:t>
      </w:r>
    </w:p>
    <w:p>
      <w:r>
        <w:t>Tribunal cantonal TC Page 3 de 5 l’Office de ne pas avoir fixé correctement le montant de son salaire qui serait de CHF 6'969.- net par mois et non de CHF 7'593.75, ce qui fausserait selon lui le calcul du montant de la saisie de salaire. Il fait également grief à l’Office de ne pas avoir tenu compte du minimum vital de son fils B.________ dans le calcul de ses charges et lui reproche d’avoir imputé sur le montant du loyer retenu dans le minimum vital, une participation de son fils B.________ au paiement de celui-ci.</w:t>
      </w:r>
    </w:p>
    <w:p>
      <w:r>
        <w:rPr>
          <w:b/>
        </w:rPr>
        <w:t>E. 2.3.1</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VONDER MÜHLL, in BSK SchKG I, 3e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(cf. OCHSNER, in CR LP, 2005, art. 93 n. 81).</w:t>
      </w:r>
    </w:p>
    <w:p>
      <w:r>
        <w:rPr>
          <w:b/>
        </w:rPr>
        <w:t>E. 2.3.2</w:t>
      </w:r>
    </w:p>
    <w:p>
      <w:r>
        <w:t>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 la part des ressources du débiteur qu'elles estiment indispensable à son entretien et à celui de sa famille (cf. ATF 130 III 45 consid. 2; arrêt TF 5A_919/2012 du 11 février 2013 consid. 4.3.1). Les lignes directrices fixent à leur chiffre I le montant de base mensuel pour un couple marié à CHF 1'700.-. Ce montant de base comprend les frais pour l'alimentation, les vêtements et le linge y compris leur entretien, les soins corporels et de santé, l'entretien du logement, les frais culturels ainsi que les dépenses pour l'éclairage, le courant électrique ou le gaz pour la cuisine. À teneur du chiffre II des lignes directrices fait notamment partie des suppléments au montant de base mensuel le loyer effectif pour le logement ou une chambre, sans les coûts d’éclairage, d’électricité et/ou de gaz pour cuisiner étant donné qu’ils sont compris dans le montant de base. Dans le cas d’une colocation (y compris enfants majeurs avec propres revenus professionnels), il convient en général de tenir compte d’une participation proportionnelle aux dépenses de logement. Quant à l’entretien d'un enfant majeur, il n'est inclus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En outre, l'obligation d'entretien n'existe que pour une première formation à caractère professionnel et dite formation doit de plus correspondre à un plan de carrière</w:t>
      </w:r>
    </w:p>
    <w:p>
      <w:r>
        <w:t>Tribunal cantonal TC Page 4 de 5 fixé avant la majorité. Si ces conditions sont réalisées, la base mensuelle d'entretien de cet enfant majeur ainsi que ses frais d'assurance maladie sont portés à la charge du débiteur, les frais liés à ses études supérieures n'étant toutefois pas pris en considération (cf. CR LP – OCHSNER, art. 93 n. 106).</w:t>
      </w:r>
    </w:p>
    <w:p>
      <w:r>
        <w:rPr>
          <w:b/>
        </w:rPr>
        <w:t>E. 2.4</w:t>
      </w:r>
    </w:p>
    <w:p>
      <w:r>
        <w:t>S’agissant du montant du salaire du plaignant, dans sa détermination, l’Office a indiqué qu’il l’avait réduit à CHF 7'211.10 dès lors que le plaignant ne perçoit plus d’allocations familiales pour son fils majeur B.________. Le plaignant demande que son salaire soit fixé à CHF 6’969.-. Comme l’a souligné l’Office dans sa détermination, le montant indiqué à titre de salaire n’a aucune influence sur le montant de la retenue mensuelle de salaire dès lors qu’il a été fixé à tout montant dépassant le minimum vital de CHF 6'173.-. Ce montant est déterminé sur la base des charges du débiteur et non de ses revenus (cf. décision attaquée, p. 5 : calcul du minimum d’existence). L’Office a d’ailleurs admis la modification et ramené le solde à CHF 7'211.10. Concernant la part au loyer du fils du plaignant, il y a lieu de constater qu’il est majeur et qu’il a débuté un deuxième apprentissage en août 2024 pour lequel il perçoit un revenu de CHF 1'760.- par mois. Dans la mesure où il ne s’agit pas d’une première formation et qu’il aurait déjà pu débuter une activité professionnelle au terme de son premier apprentissage, la décision de l’Office est parfaitement justifiée sur ce point. Il y a en effet lieu de tenir compte d’une participation proportionnelle du fils majeur du plaignant aux frais de logement, étant donné qu'il est en mesure de réaliser un revenu et de payer sa part au logement. En outre, une part, fixée à 1/5, dès lors qu’ils sont 5 personnes à vivre dans le logement, est adéquate. C’est également à juste titre que l’Office n’a pas tenu compte du minimum vital de son fils B.________ envers lequel le plaignant n’a aucune obligation d’entretien. Il s’ensuit le rejet de la plainte et la confirmation de la décision attaquée.</w:t>
      </w:r>
    </w:p>
    <w:p>
      <w:r>
        <w:rPr>
          <w:b/>
        </w:rPr>
        <w:t>E. 3</w:t>
      </w:r>
    </w:p>
    <w:p>
      <w:r>
        <w:t>Il n'est pas perçu de frais (art. 20a al. 2 ch. 5 LP), ni alloué de dépens (art. 62 a. 2 de l'ordonnance du 23 septembre 1996 sur les émoluments perçus en application de la loi fédérale sur la poursuite pour dette et faillite [OELP; RS 281.35]). (dispositif en page suivante)</w:t>
      </w:r>
    </w:p>
    <w:p>
      <w:r>
        <w:t>Tribunal cantonal TC Page 5 de 5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septembre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