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60 vom 30. Juli 2024</w:t>
      </w:r>
    </w:p>
    <w:p>
      <w:r>
        <w:t>FR Kantonsgericht, 2024-07-30, DE</w:t>
      </w:r>
    </w:p>
    <w:p>
      <w:r>
        <w:rPr>
          <w:b/>
        </w:rPr>
        <w:t xml:space="preserve">Quelle: </w:t>
      </w:r>
      <w:r>
        <w:t>https://mcp.opencaselaw.ch/entscheid/fr_gerichte_105_2024_60</w:t>
      </w:r>
    </w:p>
    <w:p>
      <w:r>
        <w:t>FR: FR_GERICHTE 105 2024 60 du 30 juillet 2024</w:t>
      </w:r>
    </w:p>
    <w:p>
      <w:r>
        <w:t>IT: FR_GERICHTE 105 2024 60 del 30 luglio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est susceptible, comme le prétend la plaignante, de porter une atteinte flagrante à son minimum vital et de la placer dans une situation intolérable (art. 22 LP; ATF 114 III 78 consid. 3; BSK SchKG II – VONDER MÜHLL, 3e éd. 2021, art. 93 n. 66). Brièvement motivée et dotée de conclusions, la plainte est au surplus recevable en la forme.</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Tribunal cantonal TC Page 3 de 4 circonstances de fait existant lors de l'exécution de la saisie. Si des changements interviennent en cours de saisie, le débiteur ou le créancier doit demander à l'office des poursuites une révision de situation au sens de l'art. 93 al. 3 LP (VONDER MÜHLL,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2.2</w:t>
      </w:r>
    </w:p>
    <w:p>
      <w:r>
        <w:t>La plaignante conteste le montant de CHF 171.35 qui lui a été remboursé par l’Office pour le mois de mai 2024. Elle estime que c’est un montant de CHF 237.- qui aurait dû lui être restitué, de sorte que l’Office doit encore lui rembourser CHF 66.-.</w:t>
      </w:r>
    </w:p>
    <w:p>
      <w:r>
        <w:rPr>
          <w:b/>
        </w:rPr>
        <w:t>E. 2.3</w:t>
      </w:r>
    </w:p>
    <w:p>
      <w:r>
        <w:t>Le revenu de la plaignante pour le mois de mai 2024 était de CHF 2'026.15. En déduisant le montant de son minimum d’existence, arrêté à CHF 1'697.50 (qui comprend sa part au loyer de CHF 622.50), on obtient un montant saisissable de CHF 328.65. L’Office ayant déjà reçu directement de la part de C.________ SA le montant de CHF 500.-, il a restitué à la plaignante le trop-perçu s’élevant à CHF 171.35 (CHF 500.- - CHF 328.65), ce qui est correct et respecte le minimum d’existence de la plaignante. Partant, ce grief est mal fondé.</w:t>
      </w:r>
    </w:p>
    <w:p>
      <w:r>
        <w:rPr>
          <w:b/>
        </w:rPr>
        <w:t>E. 2.4</w:t>
      </w:r>
    </w:p>
    <w:p>
      <w:r>
        <w:t>La plaignante se plaint, de manière générale, du fait qu’elle subit une saisie de salaire alors qu’elle est en arrêt maladie. Elle ne conteste toutefois aucun poste précis du calcul du minimum vital ni ne formule aucun grief concret à l’encontre de la décision de saisie de salaire du 5 juin 2024 de sorte que la plainte est, pour le surplus, irrecevable pour défaut de motivation, conformément aux art. 81 CPJA, applicable par renvoi de l’art. 9 al. 2 LALP, et 7 al. 1 LALP. Il s’ensuit le rejet de la plainte, dans la mesure de sa recevabilité.</w:t>
      </w:r>
    </w:p>
    <w:p>
      <w:r>
        <w:rPr>
          <w:b/>
        </w:rPr>
        <w:t>E. 3</w:t>
      </w:r>
    </w:p>
    <w:p>
      <w:r>
        <w:t>Il n'est pas perçu de frais (art. 20a al. 2 ch. 5 LP), ni alloué de dépens (art. 62 a. 2 de l'ordonnance du 23 septembre 1996 sur les émoluments perçus en application de la loi fédérale sur la poursuite pour dette et faillite [OELP; RS 281.35]). (dispositif en page suivante) Tribunal cantonal TC Page 4 de 4 la Chambre arrête : I. La plainte est rejetée dans la mesure où elle est 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juillet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