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40 vom 26. Juni 2024</w:t>
      </w:r>
    </w:p>
    <w:p>
      <w:r>
        <w:t>FR Kantonsgericht, 2024-06-26, FR</w:t>
      </w:r>
    </w:p>
    <w:p>
      <w:r>
        <w:rPr>
          <w:b/>
        </w:rPr>
        <w:t xml:space="preserve">Quelle: </w:t>
      </w:r>
      <w:r>
        <w:t>https://mcp.opencaselaw.ch/entscheid/fr_gerichte_105_2024_40</w:t>
      </w:r>
    </w:p>
    <w:p>
      <w:r>
        <w:t>FR: FR_GERICHTE 105 2024 40 du 26 juin 2024</w:t>
      </w:r>
    </w:p>
    <w:p>
      <w:r>
        <w:t>IT: FR_GERICHTE 105 2024 40 del 26 giugno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été envoyée sous pli recommandé le 24 avril 2024 à la plaignante qui en a été avisée mais ne l’a pas retiré. Il y a lieu d’admettre que la plainte a été déposée en temps utile dès lors qu’elle est recevable en tout temps lorsque la mesure attaquée est susceptible, comme le prétend la débitrice de porter atteinte à son minimum vital et de la placer dans une situation intolérable (art. 22 LP; ATF 114 III 78 consid. 3 / JdT 1990 II 162; BSK SCHKG I-VONDER MÜHLL, 3ème éd. 2021, art. 93 n. 66).</w:t>
      </w:r>
    </w:p>
    <w:p>
      <w:r>
        <w:rPr>
          <w:b/>
        </w:rPr>
        <w:t>E. 1.2</w:t>
      </w:r>
    </w:p>
    <w:p>
      <w:r>
        <w:t>Les causes 105 2024 40 et 105 2024 52 sont jointes.</w:t>
      </w:r>
    </w:p>
    <w:p>
      <w:r>
        <w:rPr>
          <w:b/>
        </w:rPr>
        <w:t>E. 1.3</w:t>
      </w:r>
    </w:p>
    <w:p>
      <w:r>
        <w:t>Vu le sort de la plainte du 17 juin 2024 (cause 105 2024 52), la requête d’effet suspensif devient sans objet. Il est précisé que, dans le cadre de la plainte du 21 mai 2024, la requête a été rejetée par arrêt présidentiel du 18 juin 2024.</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t>Tribunal cantonal TC Page 4 de 7</w:t>
      </w:r>
    </w:p>
    <w:p>
      <w:r>
        <w:rPr>
          <w:b/>
        </w:rPr>
        <w:t>E. 2.2</w:t>
      </w:r>
    </w:p>
    <w:p>
      <w:r>
        <w:t>La plaignante conteste le montant du loyer pris en compte par l’Office, soit CHF 1'550.-. Elle allègue qu’elle paie un loyer de CHF 2'200.- qui ne saurait être qualifié d’excessif puisqu’un loyer pour un appartement de 3.5 pièces avoisine facilement les CHF 2'000.- dans le canton de Fribourg. Elle prétend qu’au vu de ses poursuites, il ne lui est pas possible de trouver un autre appartement actuellement, même avec tous les efforts possibles.</w:t>
      </w:r>
    </w:p>
    <w:p>
      <w:r>
        <w:rPr>
          <w:b/>
        </w:rPr>
        <w:t>E. 2.2.1</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 arrêt TF 5A_252/2011 du 14 juillet 2011 consid. 4 ; arrêt TF 5A_712/2007 du 11 mars 2008 consid. 4.1 et les références citées, not. ATF 129 III 526 consid. 2). Conformément à cela, le poursuivi n’est pas autorisé, pendant la saisie ou avant une saisie de salaire imminente, à choisir un logement trop cher et à y rester pendant le délai de congé, car, ce faisant, il ne maintient pas ses frais de logement aussi bas que possible. S’il agit néanmoins de la sorte, le nouveau et trop coûteux loyer ne peut être pris en considération dans le calcul du minimum vital (ATF 109 III 52 ; arrêt TF 5A_912/2018 du 16 janvier 2019 consid. 3.1.2 et doctrine citée). En d’autres termes, si, volontairement et sans raison objective, le poursuivi emménage dans un logement plus coûteux immédiatement avant ou pendant la saisie de salaire en cours, il y a lieu de considérer qu’il y a abus de droit (art. 2 CC) et que seul l’ancien loyer, non excessif, entre en ligne de compte pour le calcul du minimum vital. L'Office ne peut toutefois contraindre le débiteur à emménager dans un logement plus avantageux. Le débiteur qui reste dans le logement dont le coût est exagéré peut compenser la diminution de son minimum vital en rognant d'autres dépenses prises en compte dans le calcul de celui-ci (ATF 129 III 526 consid. 2; TF 5A_712/2007 du 11 mars 2008 consid. 4.1 et les références citées ; arrêt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w:t>
      </w:r>
    </w:p>
    <w:p>
      <w:r>
        <w:rPr>
          <w:b/>
        </w:rPr>
        <w:t>E. 2.2.2</w:t>
      </w:r>
    </w:p>
    <w:p>
      <w:r>
        <w:t>En l'espèce, la plaignante a déposé ses papiers à Monthey. Selon les pièces produites par l’Office, la plaignante louait un appartement à E.________ pour le montant de CHF 1'680.- ; en effet, il ressort d’un commandement de payer établi le 28 mars 2023 à l’instance de sa bailleresse qu’elle n’a pas payé le loyer de mars 2023 ni les charges de 2022 (P. 4 de l’Office). En outre, elle fait l’objet d’un acte de défaut de biens pour le montant de CHF 25'536.55 correspondant à des loyers non payés d’un autre appartement situé à E.________, la date de l’exécution étant le 15 juillet 2022 (P. 4 de l’Office). Selon la délégation de l’Office des poursuites des districts de Monthey St-Maurice, la plaignante fait l’objet de saisies antérieures pour un montant de CHF 59'278.85. En dépit de ces circonstances défavorables, la plaignante a conclu un contrat de bail, dès le 1er avril 2023, portant sur un appartement de 5 pièces à Romont, pour elle et son fils majeur, dont le loyer est de CHF 2'500.-, réduit à CHF 2'200.- « pour non finition galetas » (cf. P. 7 du bordereau de la plaignante), soit CHF 520.- de plus que son dernier loyer qu’elle ne parvenait pas à payer. Manifestement, un tel appartement est trop grand pour deux personnes et, surtout, le loyer n’entre pas dans le budget de la plaignante qui a commis un abus de droit en concluant un tel contrat de</w:t>
      </w:r>
    </w:p>
    <w:p>
      <w:r>
        <w:t>Tribunal cantonal TC Page 5 de 7 bail alors qu’elle fait l’objet de poursuites pour des loyers impayés et qu’elle était déjà sous le coup de saisies antérieures. En outre, la conclusion de ce bail ne repose sur aucun motif objectif puisque la plaignante n’a trouvé un travail à Fribourg que depuis le mois de novembre 2023 et qu’elle était au chômage avant cette date. Quoi qu’il en soit, un appartement de 3.5 pièces aurait suffi à la plaignante et à son fils, qui au lieu de travailler bénévolement, pourrait trouver un travail rémunéré pour pouvoir participer aux frais du loyer ; à ce sujet, il y a lieu de relever que la plaignante n’a produit aucune pièce attestant que son fils travaille effectivement de manière bénévole dans une ferme et ne dispose d’aucun revenu. Vraisemblablement, compte tenu de la poursuite dirigée contre la plaignante pour le loyer impayé de mars 2023, cette dernière a été contrainte de trouver un nouvel appartement. Dans ce cas, il y a lieu de prendre en considération les loyers usuels de la ville de Romont où elle s’est installée, pour un appartement de 3.5 pièces, suffisamment grand pour elle et son fils. Le marché locatif, qui est accessible au moyen notamment de divers sites internet référant les propositions de logements disponibles dans le canton, propose des appartements de 3.5 pièces à Romont dès CHF 1’280.- par mois, charges comprises, de 4 pièces à moins de CHF 1'500.- par mois, et à Fribourg dès CHF 1'200.-, et même à CHF 1'536.-, charges comprises à F.________, tout près de son lieu de travail, ce qui lui permettrait de réduire ses frais de déplacement (cf. www.immoscout24.ch, avec adjonction du critère relatif au nombre de pièces, consulté le 7 et le 24 juin 2024). Des appartements de 4 pièces sont également proposés à Romont et à Fribourg pour moins de CHF 1'500.-. Par conséquent, dans la mesure où la débitrice doit restreindre son train de vie et où elle a commis un abus de droit en emménageant dans un appartement trop grand et trop coûteux alors qu’elle était poursuivie pour des loyers impayés de ses deux précédents logements, l’Office n’a pas outrepassé son pouvoir d’appréciation en prenant en compte un loyer de CHF 1'550.-. Il s’ensuit le rejet du grief de la plaignante s’agissant du loyer pris en compte.</w:t>
      </w:r>
    </w:p>
    <w:p>
      <w:r>
        <w:rPr>
          <w:b/>
        </w:rPr>
        <w:t>E. 2.3</w:t>
      </w:r>
    </w:p>
    <w:p>
      <w:r>
        <w:t>La plaignante critique les frais de déplacement en transports publics retenus par l’Office. Elle allègue qu’un véhicule lui est indispensable, qu’elle se déplace à son lieu de travail depuis Monthey ou depuis Romont et que, depuis Romont, la durée du trajet est doublée en transports publics.</w:t>
      </w:r>
    </w:p>
    <w:p>
      <w:r>
        <w:rPr>
          <w:b/>
        </w:rPr>
        <w:t>E. 2.3.1</w:t>
      </w:r>
    </w:p>
    <w:p>
      <w:r>
        <w:t>Il ressort du procès-verbal des opérations de la saisie (P. 3 du bordereau de la plaignante) que la plaignante a donné sa voiture de marque Mercedes au début de l’année 2023 à D.________ qui la lui prête pour une durée indéterminée, selon la convention de location de voiture du 20 mars 2023 (P. 9 du bordereau de la plaignante) en contrepartie du paiement, par la plaignante, des impôts, des primes d’assurance et des frais d’entretien du véhicule prêté. La Chambre a du mal à saisir l’intérêt de la plaignante à se dessaisir de son véhicule alors qu’elle prétend qu’un véhicule lui est indispensable, d’autant plus que tous les frais sont à sa charge, si ce n’est pour éviter la saisie de son véhicule.</w:t>
      </w:r>
    </w:p>
    <w:p>
      <w:r>
        <w:rPr>
          <w:b/>
        </w:rPr>
        <w:t>E. 2.3.2</w:t>
      </w:r>
    </w:p>
    <w:p>
      <w:r>
        <w:t>Selon la jurisprudence constante rappelée par le Tribunal fédéral dans son arrêt du 4 mars 2022, ce n'est qu'exceptionnellement – et dans la mesure où l'utilisation des transports publics ne peut raisonnablement être exigée – que des frais du véhicule privé non indispensables pour l'exercice d'une profession peuvent être ajoutés à la base mensuelle, les difficultés d'organisation et la perte de commodité que l'utilisation des transports publics engendre immanquablement ne rentrant pas dans le champ des exceptions visées par la jurisprudence (arrêt TF 5A_27/2022 du</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7 de 7 la Chambre arrête : I. Les causes 105 2024 40 et 105 2024 52 sont jointes. II. Les plaintes sont rejetées. Partant, les décisions de saisie de salaire des 25 avril 2024 et 3 juin 2024 sont confirmées. III. Les requêtes d’assistance judiciaires sont rejetées. IV. La requête d’effet suspensif dans la cause 105 2024 52 est sans objet. V. Il n’est pas perçu de frais ni alloué de dépens.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