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60 vom 1. Juni 2023</w:t>
      </w:r>
    </w:p>
    <w:p>
      <w:r>
        <w:t>FR Kantonsgericht, 2023-06-01, FR</w:t>
      </w:r>
    </w:p>
    <w:p>
      <w:r>
        <w:rPr>
          <w:b/>
        </w:rPr>
        <w:t xml:space="preserve">Quelle: </w:t>
      </w:r>
      <w:r>
        <w:t>https://mcp.opencaselaw.ch/entscheid/fr_gerichte_105_2023_60</w:t>
      </w:r>
    </w:p>
    <w:p>
      <w:r>
        <w:t>FR: FR_GERICHTE 105 2023 60 du 1 juin 2023</w:t>
      </w:r>
    </w:p>
    <w:p>
      <w:r>
        <w:t>IT: FR_GERICHTE 105 2023 60 del 1 giugno 2023</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attaquée a été notifiée au plaignant le 9 décembre 2022 et la plainte a été déposée le 11 mai 2023, soit après l’échéance du délai légal de 10 jours. Toutefois, il y a lieu d’admettre qu’elle a été déposée en temps utile dès lors qu’elle est recevable en tout temps lorsque la mesure attaquée est susceptible, comme le prétend le débiteur, de porter atteinte à son minimum vital et de le placer dans une situation intolérable (art. 22 LP; ATF 114 III 78 consid. 3 / JdT 1990 II 162; BSK SCHKG II-VONDER MÜHLL, art. 93 n. 66).</w:t>
      </w:r>
    </w:p>
    <w:p>
      <w:r>
        <w:rPr>
          <w:b/>
        </w:rPr>
        <w:t>E. 2.1</w:t>
      </w:r>
    </w:p>
    <w:p>
      <w:r>
        <w:t>Aux termes de l’art. 7 al. 1 LALP, la plainte à l'autorité de surveillance doit être formulée par écrit. Elle doit être motivée, signée et accompagnée des pièces auxquelles elle renvoie. Concernant le contenu de la plainte sur le fond à proprement parler, quand bien même le droit fédéral commande de ne pas se montrer trop formaliste quant aux exigences liées à la motivation, l’acte doit toutefois mentionner la décision attaquée, le motif de la plainte et ce que le plaignant demande (les conclusions). L’exposé des moyens peut être sommaire, voire maladroit, pourvu que le but poursuivi soit visible. Une critique intelligible et explicite de l’acte de poursuite attaquée est suffisante, même en l’absence de conclusions formelles. Les autorités de surveillance doivent interpréter, rectifier, corriger les conclusions prises (CR LP-ERARD, 2005, art. 17 n. 32 s.).</w:t>
      </w:r>
    </w:p>
    <w:p>
      <w:r>
        <w:rPr>
          <w:b/>
        </w:rPr>
        <w:t>E. 2.2</w:t>
      </w:r>
    </w:p>
    <w:p>
      <w:r>
        <w:t>En l’espèce, même si le plaignant ne mentionne pas précisément quel poste du calcul de son minimum vital il conteste, il ressort de sa plainte qu’il conteste globalement le montant arrêté de son minimum vital, le trouvant trop sévère. Partant, sa plainte est suffisamment motivée et recevable.</w:t>
      </w:r>
    </w:p>
    <w:p>
      <w:r>
        <w:rPr>
          <w:b/>
        </w:rPr>
        <w:t>E. 3.1</w:t>
      </w:r>
    </w:p>
    <w:p>
      <w:r>
        <w:t>Le plaignant soutient que le montant de son minimum vital, arrêté par l’Office à CHF 1'275.-, est trop faible et demande à ce qu’il soit recalculé de manière plus clémente.</w:t>
      </w:r>
    </w:p>
    <w:p>
      <w:r>
        <w:t>Tribunal cantonal TC Page 3 de 4</w:t>
      </w:r>
    </w:p>
    <w:p>
      <w:r>
        <w:rPr>
          <w:b/>
        </w:rPr>
        <w:t>E. 3.2</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VONDER MÜHLL, in BSK SchKG I, 3e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w:t>
      </w:r>
    </w:p>
    <w:p>
      <w:r>
        <w:rPr>
          <w:b/>
        </w:rPr>
        <w:t>E. 3.3</w:t>
      </w:r>
    </w:p>
    <w:p>
      <w:r>
        <w:t>En l’espèce, il ressort de la détermination de l’Office que le plaignant n’a produit aucune pièce justificative de ses charges, malgré les sollicitations de l’Office. Dans sa plainte, il n’a pas non plus indiqué de quelles charges l’Office aurait dû tenir compte, ni produit de pièces prouvant qu’il s’acquitte réellement de ses charges. Or, pour que des charges soient retenues dans le minimum vital, le débiteur doit prouver les avoir effectivement payées et, pour ce faire, produire des justificatifs de paiement, ce qu’il n’a pas fait. Partant, la décision de l’Office doit être confirmée et la plainte rejetée. Il appartient au plaignant de présenter les justificatifs de paiement de ses charges à l'Office afin qu’il puisse en tenir compte dans la décision de salaire et ainsi recalculer le montant de son minimum vital.</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4 de 4 la Chambre arrête : I. La plainte est rejetée. Partant, la décision de saisie de salaire prononcée le 7 décembre 2022 par l'Office des poursuites de la Sarine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juin 2023/say EXPED-SIGN-01 EXPED-SIGN-02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