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27 vom 25. April 2023</w:t>
      </w:r>
    </w:p>
    <w:p>
      <w:r>
        <w:t>FR Kantonsgericht, 2023-04-25, FR</w:t>
      </w:r>
    </w:p>
    <w:p>
      <w:r>
        <w:rPr>
          <w:b/>
        </w:rPr>
        <w:t xml:space="preserve">Quelle: </w:t>
      </w:r>
      <w:r>
        <w:t>https://mcp.opencaselaw.ch/entscheid/fr_gerichte_105_2023_27</w:t>
      </w:r>
    </w:p>
    <w:p>
      <w:r>
        <w:t>FR: FR_GERICHTE 105 2023 27 du 25 avril 2023</w:t>
      </w:r>
    </w:p>
    <w:p>
      <w:r>
        <w:t>IT: FR_GERICHTE 105 2023 27 del 25 aprile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12</w:t>
      </w:r>
    </w:p>
    <w:p>
      <w:r>
        <w:t>décembre 2022 et que les créanciers de cette série ont reçu un acte de défaut de biens pour leur découvert. Cet élément n’augure rien de positif sur sa capacité à s’acquitter du moindre montant en faveur de ses créanciers. De plus, le plaignant n’a pas collaboré lorsque l’Office des poursuites lui a demandé d’amener son véhicule avec la carte grise et toutes les clés, de sorte qu’il s’expose à devoir payer des frais élevés pour son enlèvement. Dans ces conditions, l’Office des poursuites n’a pas excédé son pouvoir d’appréciation en refusant d’octroyer un sursis à la réalisation du véhicule saisi. 2.4. Le plaignant allègue qu’il a impérativement besoin de son véhicule. Sans que cet argument soit déterminant pour juger de la violation de l’art. 123 LP, la Chambre constate qu’il dispose d’un autre véhicule immatriculé à son nom, sans compter le fait qu’il habite D.________, commune limitrophe de Fribourg qui est bien desservie par les transports publics. 2.5. Pour tous ces motifs, la plainte est rejetée.</w:t>
      </w:r>
    </w:p>
    <w:p>
      <w:r>
        <w:t>Tribunal cantonal TC Page 4 de 4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déposée le 13 mars 2023 par A.________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