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15 vom 3. April 2023</w:t>
      </w:r>
    </w:p>
    <w:p>
      <w:r>
        <w:t>FR Kantonsgericht, 2023-04-03, FR</w:t>
      </w:r>
    </w:p>
    <w:p>
      <w:r>
        <w:rPr>
          <w:b/>
        </w:rPr>
        <w:t xml:space="preserve">Quelle: </w:t>
      </w:r>
      <w:r>
        <w:t>https://mcp.opencaselaw.ch/entscheid/fr_gerichte_105_2023_15</w:t>
      </w:r>
    </w:p>
    <w:p>
      <w:r>
        <w:t>FR: FR_GERICHTE 105 2023 15 du 3 avril 2023</w:t>
      </w:r>
    </w:p>
    <w:p>
      <w:r>
        <w:t>IT: FR_GERICHTE 105 2023 15 del 3 aprile 2023</w:t>
      </w:r>
    </w:p>
    <w:p>
      <w:pPr>
        <w:pStyle w:val="Heading2"/>
      </w:pPr>
      <w:r>
        <w:t>Regeste</w:t>
      </w:r>
    </w:p>
    <w:p>
      <w:r>
        <w:t>Arrêt de la Chambre des poursuites et faillites du Tribunal cantonal | Schuldbetreibung (Art. 38-88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Les commandements de payer ayant été notifiés aux plaignants le 17 février 2023, la plainte du 21 février a été déposée en temps utile. Brièvement motivée et dotée de conclusions, elle est par conséquent recevable en la forme.</w:t>
      </w:r>
    </w:p>
    <w:p>
      <w:r>
        <w:rPr>
          <w:b/>
        </w:rPr>
        <w:t>E. 2.1</w:t>
      </w:r>
    </w:p>
    <w:p>
      <w:r>
        <w:t>Les plaignants invoquent le fait que les commandements de payer portent chacun sur deux créances différentes invoquées par deux créancières distinctes.</w:t>
      </w:r>
    </w:p>
    <w:p>
      <w:r>
        <w:rPr>
          <w:b/>
        </w:rPr>
        <w:t>E. 2.2</w:t>
      </w:r>
    </w:p>
    <w:p>
      <w:r>
        <w:t>Aux termes de l'art. 67 al. 1 LP, la réquisition de poursuite est adressée à l'office par écrit ou verbalement. Elle énonce: le nom et le domicile du créancier, et, s'il y a lieu, de son mandataire (ch. 1); le nom et le domicile du débiteur, et, le cas échéant, de son représentant légal (ch. 2). Deux ou plusieurs créanciers, agissant comme consorts et par l'intermédiaire d'un représentant commun, peuvent faire valoir leur créance par une seule et même poursuite uniquement s'il y a solidarité entre eux ou si la créance leur appartient en commun. Il n'est pas permis de joindre dans une même poursuite plusieurs créances appartenant individuellement à plusieurs créanciers (ATF 76 III 90; 71 III 164). Une telle jonction ne trouve aucune justification dans la loi et la LP ne la prévoit</w:t>
      </w:r>
    </w:p>
    <w:p>
      <w:r>
        <w:t>Tribunal cantonal TC Page 3 de 3 pas. Il n'est pas non plus indiqué de l'admettre, car il faut toujours tenir compte des exceptions que le débiteur peut opposer à l'un ou à l'autre des créanciers (ATF 71 III 164 / JT 1946 II 75 précité).</w:t>
      </w:r>
    </w:p>
    <w:p>
      <w:r>
        <w:rPr>
          <w:b/>
        </w:rPr>
        <w:t>E. 2.3</w:t>
      </w:r>
    </w:p>
    <w:p>
      <w:r>
        <w:t>En vertu de l'art. 150 al. 1 CO, il y a solidarité entre plusieurs créanciers lorsque le débiteur déclare conférer à chacun d'eux le droit de demander le paiement intégral de la créance et lorsque cette solidarité est prévue par la loi. Aucun cas de solidarité légale n'est réalisé en l'espèce et les créancières ne prétendent pas que les débiteurs leur ont conféré à chacune le droit de demander le paiement intégral de leur créance. Le fait que les deux créances concernent le même chantier ou que les deux créancières soient des sociétés filles de la même holding ne les rend pas créancières solidaires. Chacune d’elle fait valoir une créance dont elle est seule titulaire. Au vu de ce qui précède, il convient de constater que C.________ SA et D.________ Sàrl ne sont ni créancières solidaires, ni titulaires en commun des créances déduites en poursuite et que les deux commandements de payer sont nuls. Il s’ensuit l’admission de la plainte.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admise. Partant, le commandement de payer n° fff au nom de B.________ et le commandement de payer nº ggg au nom de A.________, établis par l’Office des poursuites de la Sarine et notifiés à l’instance de C.________ SA et D.________ Sàrl, représentées par E.________ Sàrl, sont nuls. Il n'est pas perçu de frais, ni alloué de dépens. 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avril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