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147 vom 15. Januar 2024</w:t>
      </w:r>
    </w:p>
    <w:p>
      <w:r>
        <w:t>FR Kantonsgericht, 2024-01-15, FR</w:t>
      </w:r>
    </w:p>
    <w:p>
      <w:r>
        <w:rPr>
          <w:b/>
        </w:rPr>
        <w:t xml:space="preserve">Quelle: </w:t>
      </w:r>
      <w:r>
        <w:t>https://mcp.opencaselaw.ch/entscheid/fr_gerichte_105_2023_147</w:t>
      </w:r>
    </w:p>
    <w:p>
      <w:r>
        <w:t>FR: FR_GERICHTE 105 2023 147 du 15 janvier 2024</w:t>
      </w:r>
    </w:p>
    <w:p>
      <w:r>
        <w:t>IT: FR_GERICHTE 105 2023 147 del 15 gennaio 2024</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décision attaquée a été notifiée au plaignant le 18 avril 2023 et la plainte a été déposée le 22 décembre 2023, soit après l’échéance du délai légal de 10 jours. Toutefois, il y a lieu d’admettre qu’elle a été déposée en temps utile dès lors qu’elle est recevable en tout temps lorsque la mesure attaquée est susceptible, comme le prétend le débiteur, de porter atteinte à son minimum vital et de le placer dans une situation intolérable (art. 22 LP; ATF 114 III 78 consid. 3 / JdT 1990 II 162; BSK SCHKG I-VONDER MÜHLL, 3ème éd. 2021, art. 93 n. 66).</w:t>
      </w:r>
    </w:p>
    <w:p>
      <w:r>
        <w:rPr>
          <w:b/>
        </w:rPr>
        <w:t>E. 2.1</w:t>
      </w:r>
    </w:p>
    <w:p>
      <w:r>
        <w:t>Le plaignant critique le montant de son minimum vital arrêté à CHF 1'275.- par l’Office. Il allègue que l’Office n’a pas tenu compte de ses charges, en particulier de ses frais d’entretien en faveur de son fils qui vit en Turquie, de ses frais dentaires et médicaux. Il reproche également à l’Office d’avoir perçu une prime de CHF 3'500.- reçue de son employeur pour ses 15 ans de service.</w:t>
      </w:r>
    </w:p>
    <w:p>
      <w:r>
        <w:rPr>
          <w:b/>
        </w:rPr>
        <w:t>E. 2.2</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(VONDER MÜHLL, art. 93 n. 17 et 21). Sont saisissables les créances appartenant au débiteur (art. 95 et 99 LP), même si elles sont contestées dans leur existence ou leur montant (ATF 109 III 102 consid. 2) ou non encore exigibles</w:t>
      </w:r>
    </w:p>
    <w:p>
      <w:r>
        <w:t>Tribunal cantonal TC Page 3 de 4 (ATF 112 III 901 consid. 4b; ATF 99 III 52 consid. 3; ATF 64 III 179 consid. 2; ATF 53 III 30 p. 32). Il en va ainsi des revenus du travail, qui comprennent non seulement le salaire périodique acquis (soumis à un délai de paiement dont le terme est en principe à la fin de chaque mois, cf. art. 323 CO), mais aussi le salaire futur, le 13ème salaire, la participation au résultat, la provision et la gratification, soit des créances futures, sur lesquelles la saisie produit ses effets dès qu’elles sont effectivement versées, de sorte que l’employeur devra s’exécuter en mains de l’office au moment où il verse la somme en question (ATF 71 III 60 consid. 4; CR LP-OCHSNER, 2005, art. 93 LP, n. 16; VONDER MÜHLL, art. 93 n. 4).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w:t>
      </w:r>
    </w:p>
    <w:p>
      <w:r>
        <w:rPr>
          <w:b/>
        </w:rPr>
        <w:t>E. 2.3</w:t>
      </w:r>
    </w:p>
    <w:p>
      <w:r>
        <w:t>En l’espèce, il est vrai que la décision de saisie de salaire ne retient aucune charge du débiteur à l’exception de sa base mensuelle à hauteur de CHF 1'200.- et d’autres frais à hauteur de CHF 75.-. Toutefois, il ressort de la détermination de l’Office que le plaignant n’a produit aucune pièce justificative de ses charges, malgré les sollicitations de l’Office. Dans sa plainte, il n’a pas non plus produit de pièces prouvant qu’il s’acquitte réellement de ses charges courantes telles que l’assurance-maladie et le loyer, ni même des frais d’entretien en faveur de son fils et des frais médicaux et dentaires qu’il fait valoir. Or, pour que des charges soient retenues dans le minimum vital, le débiteur doit prouver les avoir effectivement payées et, pour ce faire, produire des justificatifs de paiement, ce qu’il n’a pas fait. Il lui incombe de produire ses preuves de paiement à l’Office afin qu’il puisse en tenir compte dans la décision saisie de salaire et ainsi recalculer le montant de son minimum vital. S’agissant de la gratification de CHF 3'500.- que le débiteur a reçue de son employeur, ce montant fait partie du montant saisissable, conformément à la jurisprudence et à la doctrine (cf. supra consid. 2.2.), et tel que mentionné dans la décision de saisie. En outre, comme le relève l’Office, le débiteur a actuellement un montant en saisie de CHF 51'619.10, de sorte qu’il n’aurait pas pu répondre favorablement à une éventuelle demande du débiteur de pouvoir percevoir sa gratification ou une partie de celle-ci. Il n’a du reste pas indiqué quelle utilisation il aurait souhaité en faire. Partant, la décision de l’Office doit être confirmée et la plainte rejetée.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4 de 4 la Chambre arrête : I. La plainte est rejetée. Partant, la décision de saisie de salaire prononcée le 17 avril 2023 par l'Office des poursuites de la Sarine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janvier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