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112 vom 27. September 2023</w:t>
      </w:r>
    </w:p>
    <w:p>
      <w:r>
        <w:t>FR Kantonsgericht, 2023-09-27, FR</w:t>
      </w:r>
    </w:p>
    <w:p>
      <w:r>
        <w:rPr>
          <w:b/>
        </w:rPr>
        <w:t xml:space="preserve">Quelle: </w:t>
      </w:r>
      <w:r>
        <w:t>https://mcp.opencaselaw.ch/entscheid/fr_gerichte_105_2023_112</w:t>
      </w:r>
    </w:p>
    <w:p>
      <w:r>
        <w:t>FR: FR_GERICHTE 105 2023 112 du 27 septembre 2023</w:t>
      </w:r>
    </w:p>
    <w:p>
      <w:r>
        <w:t>IT: FR_GERICHTE 105 2023 112 del 27 settembre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la plainte, déposée le 4 septembre 2023, l’a été en temps utile.</w:t>
      </w:r>
    </w:p>
    <w:p>
      <w:r>
        <w:rPr>
          <w:b/>
        </w:rPr>
        <w:t>E. 2.1</w:t>
      </w:r>
    </w:p>
    <w:p>
      <w:r>
        <w:t>Selon l'art. 7 al. 1 de la loi fribourgeoise du 12 février 2015 d'application de la législation fédérale sur la poursuite pour dettes et la faillite (LALP ; RSF 28.1), la plainte doit être formulée par écrit et motivée. S’il y a vice de forme tel que l’absence de signature ou de procuration ou si la plainte est illisible, inconvenante, incompréhensible ou prolixe, l’autorité de surveillance fixe un délai pour la rectification. A défaut, la plainte n’est pas prise en considération (art. 7 al. 2 LALP).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 est suffisante, même en l’absence de conclusions formelles. Les autorités de surveillance doivent interpréter, rectifier, corriger les conclusions prises (CR LP-ERARD, 2005, art. 17 n. 32 s.).</w:t>
      </w:r>
    </w:p>
    <w:p>
      <w:r>
        <w:rPr>
          <w:b/>
        </w:rPr>
        <w:t>E. 2.2</w:t>
      </w:r>
    </w:p>
    <w:p>
      <w:r>
        <w:t>En l'espèce, l’acte déposé par le plaignant ne comporte pas la moindre critique intelligible à l’encontre du procès-verbal de saisie attaqué, de sorte que son argumentation prolixe est manifestement insuffisante au regard des exigences de motivation qui viennent d’être exposées. Au contraire, le plaignant se borne à répéter que sa dette est inexistante et à remettre en question en une prose incompréhensible le système judiciaire suisse.</w:t>
      </w:r>
    </w:p>
    <w:p>
      <w:r>
        <w:t>Tribunal cantonal TC Page 3 de 3 Partant, la Chambre ne peut que déclarer la plainte irrecevable sur ce point.</w:t>
      </w:r>
    </w:p>
    <w:p>
      <w:r>
        <w:rPr>
          <w:b/>
        </w:rPr>
        <w:t>E. 2.3</w:t>
      </w:r>
    </w:p>
    <w:p>
      <w:r>
        <w:t>Quand bien même la critique du plaignant serait recevable sur le fond, sa plainte devrait de toute façon être rejetée, dès lors qu’elle est manifestement mal fondée, l’Office ayant procédé conformément aux dispositions légales applicables et rappelées dans sa détermination du</w:t>
      </w:r>
    </w:p>
    <w:p>
      <w:r>
        <w:rPr>
          <w:b/>
        </w:rPr>
        <w:t>E. 6</w:t>
      </w:r>
    </w:p>
    <w:p>
      <w:r>
        <w:t>septembre 2023. 3. Il n’est pas perçu de frais (art. 20a al. 2 ch. 5 LP), ni alloué de dépens en l’espèce (art. 62 al. 2 de l’ordonnance du 23 septembre 1996 sur les émoluments perçus en application de la loi fédérale sur la poursuite pour dettes et faillite [OELP ; RS 281.35]). la Chambre arrête : I. La plainte est rejetée, dans la mesure où elle est recevable. Partant, le procès-verbal de saisie du 16 août 2023 de l’Office des poursuites de la Gruyère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88 et 90 ss de la loi su le Tribunal fédéral du 17 juin 2005 (LTF). L’acte de recours motivé doit être adressé au Tribunal fédéral, 1000 Lausanne 14. Fribourg, le 27 septembre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