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76 vom 18. Juli 2022</w:t>
      </w:r>
    </w:p>
    <w:p>
      <w:r>
        <w:t>FR Kantonsgericht, 2022-07-18, DE</w:t>
      </w:r>
    </w:p>
    <w:p>
      <w:r>
        <w:rPr>
          <w:b/>
        </w:rPr>
        <w:t xml:space="preserve">Quelle: </w:t>
      </w:r>
      <w:r>
        <w:t>https://mcp.opencaselaw.ch/entscheid/fr_gerichte_105_2022_76</w:t>
      </w:r>
    </w:p>
    <w:p>
      <w:r>
        <w:t>FR: FR_GERICHTE 105 2022 76 du 18 juillet 2022</w:t>
      </w:r>
    </w:p>
    <w:p>
      <w:r>
        <w:t>IT: FR_GERICHTE 105 2022 76 del 18 luglio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il y a lieu d’admettre que la plainte du 25 juin 2022 (remise à la Poste), qui est dirigée contre la saisie de salaire du 15 juin 2022, a été déposée en temps utile, ce d’autant qu’elle est recevable en tout temps lorsque la mesure attaquée est susceptible de porter atteinte au minimum vital du débiteur et de le placer dans une situation intolérable (art. 22 LP ; ATF 114 III 78 consid. 3, JdT 1990 II 162 ; BSK SCHKG II-VONDER MÜHLL, art. 93 n. 66).</w:t>
      </w:r>
    </w:p>
    <w:p>
      <w:r>
        <w:rPr>
          <w:b/>
        </w:rPr>
        <w:t>E. 2</w:t>
      </w:r>
    </w:p>
    <w:p>
      <w:r>
        <w:t>Le plaignant reproche à l’Office des poursuites d’avoir pris en compte un salaire net de CHF 5'000.- alors que son salaire actuel brut s’élève à CHF 4'800.- seulement. En outre, il invoque une saisie de salaire du 29 mars 2022 dans laquelle une saisie de CHF 894.05 aurait été effectuée sur la base d’un salaire net de CHF 5094.05. Il se demande dès lors comment une saisie de salaire de CHF 1'250.- a été calculée étant donné que son salaire brut a diminué de CHF 700.-. Le plaignant ne fournit aucun document attestant ces dires.</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II-VONDER MÜHLL, art. 93 n. 17). De plus, si l'office doit certes établir d'office la situation financière, le débiteur est tenu de collaborer en apportant les éléments de fait importants et en fournissant les preuves à sa disposition (BSK SCHKG II-VONDER MÜHLL, art. 93 n. 16) Tribunal cantonal TC Page 3 de 4</w:t>
      </w:r>
    </w:p>
    <w:p>
      <w:r>
        <w:rPr>
          <w:b/>
        </w:rPr>
        <w:t>E. 2.2</w:t>
      </w:r>
    </w:p>
    <w:p>
      <w:r>
        <w:t>Dans sa détermination du 8 juillet 2022, l’Office des poursuites déplore la non-collaboration du plaignant et le fait que ce dernier a changé à 7 reprises d’employeur durant les 6 derniers mois dans le but d’échapper à une saisie de salaire en fin de mois. En outre, il fait remarquer que les comparaisons faites par le plaignant sont infondées dans la mesure où il n’y a plus eu de saisie d’un montant déterminé mensuel depuis janvier 2022.</w:t>
      </w:r>
    </w:p>
    <w:p>
      <w:r>
        <w:rPr>
          <w:b/>
        </w:rPr>
        <w:t>E. 2.3</w:t>
      </w:r>
    </w:p>
    <w:p>
      <w:r>
        <w:t>En l’occurrence, la Chambre constate, d’une part, que le plaignant ne produit aucune pièce à l’appui de sa plainte et, d’autre part, que le procédé de l’Office des poursuites ne prête pas le flanc à la critique. En effet, l’office a procédé à la saisie de tout montant dépassant le minimum d’existence du débiteur, dont le plaignant ne critique pas l’établissement, et non à la saisie d’un montant fixe qui pourrait conduire à une atteinte du minimum d’existence en présence d’un revenu inférieur à celui retenu par l’office. Au surplus, vu l’attitude générale du plaignant, ce dernier est malvenu de critiquer la décision entreprise. Il s’ensuit le rejet de la plainte.</w:t>
      </w:r>
    </w:p>
    <w:p>
      <w:r>
        <w:rPr>
          <w:b/>
        </w:rPr>
        <w:t>E. 3</w:t>
      </w:r>
    </w:p>
    <w:p>
      <w:r>
        <w:t>Le plaignant peut demander à tout moment la modification de la saisie en produisant tout document attestant ses revenus et ses charges.</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 Tribunal cantonal TC Page 4 de 4 la Chambre arrête : I. La plainte est rejetée. II. La décision de saisie de salaire rendue le 15 juin 2022 par l'Office des poursuites de la Glâne est confirmée. III. Il n'est pas perçu de frais, ni alloué de dépens. IV :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juillet 2022/mdu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