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33 vom 1. April 2022</w:t>
      </w:r>
    </w:p>
    <w:p>
      <w:r>
        <w:t>FR Kantonsgericht, 2022-04-01, FR</w:t>
      </w:r>
    </w:p>
    <w:p>
      <w:r>
        <w:rPr>
          <w:b/>
        </w:rPr>
        <w:t xml:space="preserve">Quelle: </w:t>
      </w:r>
      <w:r>
        <w:t>https://mcp.opencaselaw.ch/entscheid/fr_gerichte_105_2022_33</w:t>
      </w:r>
    </w:p>
    <w:p>
      <w:r>
        <w:t>FR: FR_GERICHTE 105 2022 33 du 1 avril 2022</w:t>
      </w:r>
    </w:p>
    <w:p>
      <w:r>
        <w:t>IT: FR_GERICHTE 105 2022 33 del 1 aprile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a manifestement été déposée en temps utile. En tout état de cause et pour autant qu’une mesure soit susceptible de porter atteinte au minimum vital du débiteur, elle est recevable en tout temps (cf. ATF 97 III 7 consid. 2 / JdT 1973 II p. 20 ss, 22).</w:t>
      </w:r>
    </w:p>
    <w:p>
      <w:r>
        <w:rPr>
          <w:b/>
        </w:rPr>
        <w:t>E. 1.2</w:t>
      </w:r>
    </w:p>
    <w:p>
      <w:r>
        <w:t>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de juridiction administrative du 23 mai 1991 (CPJA; RSF 150.1). Aux termes de l'art. 81 al. 1 CPJA, le mémoire contient, sous peine d'irrecevabilité, les conclusions du recourant et ses motifs. Dans le cas particulier, le plaignant motive brièvement sa plainte. Celle-ci ne contient certes pas de conclusions formelles, mais l'on comprend à sa lecture que A.________ demande l'abaissement de la saisie de salaire qui lui a été imposée. Dans ces circonstances, il faut considérer que la plainte remplit les exigences minimales de recevabilité. En revanche, à supposer que le plaignant entendait également solliciter sa faillite personnelle – ce qui n’est pas clair –, c’est le lieu de rappeler qu’une telle conclusion ne relève pas de la compétence de la Chambre, mais du juge de son domicile, de sorte que celle-ci n’a pas à en connaître.</w:t>
      </w:r>
    </w:p>
    <w:p>
      <w:r>
        <w:t>Tribunal cantonal TC Page 3 de 4</w:t>
      </w:r>
    </w:p>
    <w:p>
      <w:r>
        <w:rPr>
          <w:b/>
        </w:rPr>
        <w:t>E. 2</w:t>
      </w:r>
    </w:p>
    <w:p>
      <w:r>
        <w:t>Le plaignant fait valoir pour l’essentiel que la saisie de salaire attaquée le laisserait sans les ressources suffisantes pour pouvoir vivre convenablement et assumer ses charges courantes, si bien qu’au lieu d’assainir sa situation financière, celle-ci ne ferait que se péjorer davantage. Dans ce contexte, il fait notamment valoir que la saisie de salaire litigieuse met en péril son activité professionnelle, dès lors qu’elle le met dans l’impossibilité de s’acquitter de charges indispensables à l’exercice de celle-ci, à l’instar du paiement de ses primes d’assurance RC véhicule. Il souligne également qu’il s’acquitte d’une contribution d’entretien à l’égard de son fils. En définitive, il fait valoir que sa situation personnelle et financière est difficile et demande davantage de compréhension.</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3e éd. 2021, art. 93 n. 17). De plus, si l'office doit certes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(CR LP - OCHSNER, 2005, art. 93 n. 82; ATF 121 III 20 consid. 3b;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(cf. CR LP - OCHSNER, 2005, art. 93 n. 198).</w:t>
      </w:r>
    </w:p>
    <w:p>
      <w:r>
        <w:rPr>
          <w:b/>
        </w:rPr>
        <w:t>E. 2.2</w:t>
      </w:r>
    </w:p>
    <w:p>
      <w:r>
        <w:t>En l’espèce, l’Office a retenu que le débiteur dispose d’un revenu mensuel de CHF 5'351.65 et a considéré que ses charges incompressibles s’élèvent à CHF 3'305.- par mois, soit une base mensuelle de CHF 1’000.-, un loyer de CHF 800.-, des cotisations sociales par CHF 281.30, des repas pris hors du domicile par CHF 217.-, des frais de déplacements par CHF 813.-, la contribution d’entretien en faveur de son fils par CHF 400.- et un montant de CHF 75.- pour les frais divers, laissant apparaître un montant saisissable de CHF 2'046.65, ce que le plaignant ne conteste pas véritablement.</w:t>
      </w:r>
    </w:p>
    <w:p>
      <w:r>
        <w:rPr>
          <w:b/>
        </w:rPr>
        <w:t>E. 2.3</w:t>
      </w:r>
    </w:p>
    <w:p>
      <w:r>
        <w:t>Le plaignant requiert néanmoins une diminution de la saisie de salaire prononcée à son encontre, en faisant valoir qu’il se trouve dans l’impossibilité de s’acquitter de ses primes d’assurance RC véhicule. Il souligne également qu’il s’acquitte mensuellement d’une contribution d’entretien en faveur de son fils. Dans ses observations du 24 mars 2022, l’Office relève que le débiteur ne conteste pas véritablement les montants ayant servi au calcul de son minimum vital, mais se borne à affirmer que la saisie de salaire prononcée à son encontre le laisserait sans les ressources suffisantes pour pouvoir vivre convenablement, ce que l’autorité intimée réfute. S’agissant tout d’abord de ses frais de déplacements, l’Office souligne qu’ils ont été pris en considération dans leur intégralité et que le montant de CHF 813.- couvre non seulement l’essence, mais aussi le leasing, les plaques et l’assurance du véhicule du débiteur, si bien que la facture relative à sa prime d’assurance RC que celui-ci prétend ne pas être en mesure de payer ne saurait lui être remboursée. Quant aux contributions d'entretien en faveur de son fils, l’Office relève que le plaignant se prévaut d’une</w:t>
      </w:r>
    </w:p>
    <w:p>
      <w:r>
        <w:t>Tribunal cantonal TC Page 4 de 4 convention selon laquelle il serait tenu de s’acquitter mensuellement de CHF 1’600.- en faveur de son enfant. Or, selon les relevés bancaires fournis par l’intéressé à l’Office, il ne verse en réalité que CHF 400.- par mois à la mère de son enfant, si bien que, là encore, il n’est pas possible de décompter davantage. Ces considérations ne prêtent pas le flanc à la critique, ceci d’autant plus que, selon l’extrait actualisé des poursuites versé au dossier, le total des poursuites ne cesse de croître. En effet, les dettes du débiteur ont augmenté de plus de CHF 26'000.- en l’espace d’une année, soit entre le mois de février 2021 et le mois de février 2022 (cf. extrait du 16 mars 2022). Au vu de ce qui précède, et étant rappelé que le montant de la saisie doit permettre le plus rapide désintéressement des créanciers, c’est à juste titre que l’Office a fixé la saisie de salaire à tout montant dépassant le minimum vital de CHF 3'305.-. Certes, réduit au strict minimum vital en raison de la saisie, le plaignant doit se serrer la ceinture. Toutefois, la loi garantit au débiteur la possibilité de mener une existence décente, mais ne le protège pas contre la perte des commodités de la vie (cf. arrêt TF 5A_35/2015 du 13 janvier 2016 consid. 5.1). Il s'ensuit le rejet de la plainte et la confirmation de la décision attaquée.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la décision de saisie salaire prononcée le 11 mars 2022 par l’Office des poursuites de la Singine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avril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