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125 vom 3. Januar 2023</w:t>
      </w:r>
    </w:p>
    <w:p>
      <w:r>
        <w:t>FR Kantonsgericht, 2023-01-03, FR</w:t>
      </w:r>
    </w:p>
    <w:p>
      <w:r>
        <w:rPr>
          <w:b/>
        </w:rPr>
        <w:t xml:space="preserve">Quelle: </w:t>
      </w:r>
      <w:r>
        <w:t>https://mcp.opencaselaw.ch/entscheid/fr_gerichte_105_2022_125</w:t>
      </w:r>
    </w:p>
    <w:p>
      <w:r>
        <w:t>FR: FR_GERICHTE 105 2022 125 du 3 janvier 2023</w:t>
      </w:r>
    </w:p>
    <w:p>
      <w:r>
        <w:t>IT: FR_GERICHTE 105 2022 125 del 3 gennaio 2023</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La décision du 23 septembre 2022 ayant été notifiée au conseil de la plaignante le 27 septembre 2022, la plainte du 6 octobre 2002 a été déposée en temps utile. Elle contient une motivation et des conclusions. Il y a donc lieu d’entrer en matière.</w:t>
      </w:r>
    </w:p>
    <w:p>
      <w:r>
        <w:rPr>
          <w:b/>
        </w:rPr>
        <w:t>E. 2</w:t>
      </w:r>
    </w:p>
    <w:p>
      <w:r>
        <w:t>La plaignante remet en cause la tardiveté de sa demande de non-divulgation d'une inscription au registre des poursuites. Elle fait valoir que l’interprétation de la jurisprudence du Tribunal fédéral adoptée par l’Office des poursuites est erronée (cf. ATF 147 II 544). La Chambre constate que le commandement de payer a été notifié à la plaignante le 5 août 2019 déjà. Or, passé le délai annal de validité du commandement de payer au sens l’art. 88 al. 2 LP, le débiteur ne peut former aucune requête tendant à la non-divulgation de la poursuite aux tiers selon l’art 8a al. 3 LP (cf. ATF 147 III 544 consid. 3). A.________ Sàrl ayant introduit sa demande de non- divulgation le 22 septembre 2022, la décision de l’Office des poursuites de la Sarine ne prête pas le flanc à la critique. La plainte doit donc être rejetée.</w:t>
      </w:r>
    </w:p>
    <w:p>
      <w:r>
        <w:t>Tribunal cantonal TC Page 3 de 3</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déposée le 6 octobre 2022 par A.________ Sàrl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Fribourg, le 3 janvier 2023/mdu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