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77 vom 29. September 2021</w:t>
      </w:r>
    </w:p>
    <w:p>
      <w:r>
        <w:t>FR Kantonsgericht, 2021-09-29, DE</w:t>
      </w:r>
    </w:p>
    <w:p>
      <w:r>
        <w:rPr>
          <w:b/>
        </w:rPr>
        <w:t xml:space="preserve">Quelle: </w:t>
      </w:r>
      <w:r>
        <w:t>https://mcp.opencaselaw.ch/entscheid/fr_gerichte_105_2021_77</w:t>
      </w:r>
    </w:p>
    <w:p>
      <w:r>
        <w:t>FR: FR_GERICHTE 105 2021 77 du 29 septembre 2021</w:t>
      </w:r>
    </w:p>
    <w:p>
      <w:r>
        <w:t>IT: FR_GERICHTE 105 2021 77 del 29 settembre 2021</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der Beschwerdeführerin frühestens am 27. August 2021 zugestellt; weder liegt ein Zustellnachweis vor, noch macht die Beschwerdeführerin oder das Betreibungsamt Angaben dazu. Die am 30. August 2021 erhobene Beschwerde erfolgt in jedem Fall fristgerecht. Auf die fristgerecht und den gesetzlichen Vorgaben genügende Beschwerde ist somit einzutreten. Kantonsgericht KG Seite 3 von 4</w:t>
      </w:r>
    </w:p>
    <w:p>
      <w:r>
        <w:rPr>
          <w:b/>
        </w:rPr>
        <w:t>E. 2</w:t>
      </w:r>
    </w:p>
    <w:p>
      <w:r>
        <w:t>Die Beschwerdeführerin bringt vor, es bestehe kein Arbeitsvertrag mit der B.________ AG und diese sei nicht ihre Arbeitgeberin. Diese Plattform mache es ihr möglich, während der Stellensuche Gele- genheitsjobs anzunehmen. Da die Angebote sehr unregelmässig seien, habe sie immer wieder grös- sere Einkommenslücken und auch grosse Auslagen für die teils sehr langen Arbeitswege. Sie habe sich beim Sozialamt anmelden müssen, damit sie während diesen Lücken über die Runden komme. Falls die Verfügung durchgesetzt werde, sei sie gezwungen, auf über die Hälfte der Jobangebote zu verzichten, um so Kosten zu sparen, was sie vermeiden möchte.</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 bungsrechtlichen Existenzminimums [Notbedarf] nach Art. 93 SchKG) auszugehen. Demnach besteht das Existenzminimum aus einem monatlichen Grundbetrag für Nahrung, Kleidung und Wäsche, Körper- und Gesundheitspflege, Unterhalt der Wohnungseinrichtung, Privatversicherun- gen, Kulturelles und Auslagen für Beleuchtung, Kochstrom und/oder Gas etc. sowie Zuschlägen. Als Zuschläge zum monatlichen Grundbetrag kommen unter anderem unumgängliche Berufsauslagen für Fahrten zum Arbeitsplatz in Frage, soweit der Arbeitgeber nicht dafür aufkommt. Sofern einem Automobil Kompetenzqualität zukommt, sind die festen und veränderlichen Kosten ohne Amortisa- tion zu berechnen. Bei Benützung eines Automobils ohne Kompetenzqualität werden die Auslagen wie bei der Benützung öffentlicher Verkehrsmittel eingesetzt.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 Schuldbetreibung und Konkurs I, 2. Aufl. 2010, Art. 93 N. 25).</w:t>
      </w:r>
    </w:p>
    <w:p>
      <w:r>
        <w:rPr>
          <w:b/>
        </w:rPr>
        <w:t>E. 2.2</w:t>
      </w:r>
    </w:p>
    <w:p>
      <w:r>
        <w:t>Das Betreibungsamt hat vorliegend das Einkommen der Beschwerdeführerin aufgrund der von ihr eingereichten drei letzten Lohnabrechnungen (Mai, Juni und Juli 2021) festgesetzt. Auch wenn auf der Lohnabrechnung als Arbeitgeber der Einsatzort aufgeführt ist, erfolgt die Lohnzahlung und -abrechnung über die B.________ AG, einen Personalverleih (C.________, besucht am 24. September 2021). Ob diese Lohnzahlungen gestützt auf einen Arbeitsvertrag oder einen ande- ren Vertrag aus dem Bereich Personalverleih erfolgt, ist unerheblich. Es wird der das Existenzmini- mum der Beschwerdeführerin übersteigende Betrag gepfändet, weshalb der als Einkommen in die Berechnung aufgenommene Betrag nicht ausschlaggebend ist. Sollte die Beschwerdeführerin mit ihrem variablen Einkommen in einem Monat ihr Existenzminimum nicht decken können, hält das Betreibungsamt in seiner Stellungnahme fest, dass sie die Lohnabrechnung einreichen kann und der fehlende Betrag mit den Pfändungsquoten ausgeglichen werden wird. In das festgesetzte Exis- tenzminimum wird folglich in keinem Fall eingegriffen. Hinsichtlich der geltend gemachten Auslagen für die zum Teil sehr langen Arbeitswege ist festzu- stellen, dass bereits ein Zuschlag für die Fahrt zum Arbeitsplatz mit dem privaten Fahrzeug berück- Kantonsgericht KG Seite 4 von 4 sichtigt wurde. Die Autoversicherung und die Fahrzeugsteuer wurden voll berücksichtigt. Zudem hat die Beschwerdeführerin gemäss der Stellungnahme des Betreibungsamtes die Möglichkeit, dem Betreibungsamt jeden Monat eine Zusammenstellung der für die Arbeit zurückgelegten Kilometer zuzustellen. Das Betreibungsamt wird anhand dieser Angaben eine genaue Abrechnung erstellen und der Beschwerdeführerin die Mehrauslagen, die über den bereits als Zuschlag berücksichtigten Betrag hinausgehen, zurückerstatten.</w:t>
      </w:r>
    </w:p>
    <w:p>
      <w:r>
        <w:rPr>
          <w:b/>
        </w:rPr>
        <w:t>E. 2.3</w:t>
      </w:r>
    </w:p>
    <w:p>
      <w:r>
        <w:t>Nach diesen Erwägungen erweist sich die Berechnung des Existenzminimums und die darauf gestützte Pfändung des Erwerbseinkommens als korrekt. Die Beschwerde ist demnach abzuweisen.</w:t>
      </w:r>
    </w:p>
    <w:p>
      <w:r>
        <w:rPr>
          <w:b/>
        </w:rPr>
        <w:t>E. 3</w:t>
      </w:r>
    </w:p>
    <w:p>
      <w:r>
        <w:t>Das Verfahren vor der kantonalen Aufsichtsbehörde in Schuldbetreibungs- und Konkurssachen ist kostenlos (Art. 20a Abs. 2 Ziff. 5 SchKG). Es wird keine Parteientschädigung ausgerichtet (Art. 62 Abs. 2 GebV SchKG). Die Kammer erkennt: I. Die Beschwerde wird abgewiesen. II. Es werden keine Gerichtskosten erhoben. Es wird keine Parteientschädigung ausgerichtet.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29. September 2021/fju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