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54 vom 9. August 2021</w:t>
      </w:r>
    </w:p>
    <w:p>
      <w:r>
        <w:t>FR Kantonsgericht, 2021-08-09, FR</w:t>
      </w:r>
    </w:p>
    <w:p>
      <w:r>
        <w:rPr>
          <w:b/>
        </w:rPr>
        <w:t xml:space="preserve">Quelle: </w:t>
      </w:r>
      <w:r>
        <w:t>https://mcp.opencaselaw.ch/entscheid/fr_gerichte_105_2021_54</w:t>
      </w:r>
    </w:p>
    <w:p>
      <w:r>
        <w:t>FR: FR_GERICHTE 105 2021 54 du 9 août 2021</w:t>
      </w:r>
    </w:p>
    <w:p>
      <w:r>
        <w:t>IT: FR_GERICHTE 105 2021 54 del 9 agosto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En l'espèce, il résulte de l'arrêt du 10 juin 2021 que la Chambre de céans doit examiner si, en ce qui concerne la saisie de la totalité de l'avoir de prévoyance du plaignant, on se trouve dans une situation où l'attitude du débiteur dénotait son intention de ne pas affecter ce montant à des fins de prévoyance. Le Tribunal fédéral a en effet considéré que les prestations versées – comme ici – en raison du départ à la retraite sont relativement saisissables (art. 93 al. 1 LP), règle qui s'applique aussi lorsque la prestation est servie sous forme de capital. Comme on ne peut pas imposer au débiteur d'acheter une rente avec l'avoir de vieillesse, l'Office des poursuites doit alors calculer la rente à laquelle donne droit ce capital et celui-ci n'est alors saisissable qu'à concurrence de cette rente annuelle, qui se calcule en fonction de sa durée et de l'espérance de vie du bénéficiaire. Si le minimum vital du débiteur est couvert par ses autres revenus et par une partie de la rente acquise fictivement avec la prestation en capital, la part de la rente excédant le minimum vital est saisissable à hauteur de sa valeur d'estimation durant une année. Ces principes trouvent application aux prestations du 3ème pilier A, qui sont relativement saisissables au sens de l'art. 93 LP après la survenance de l'évènement assuré. Si le Tribunal fédéral n'exclut pas par principe la saisie complète d'un capital de prévoyance, il la réserve à la situation où l'attitude du débiteur dénote son intention de ne pas affecter ce montant à des fins de prévoyance (arrêt TF 5A_844/2020 du 10 juin 2021 consid. 2.4.2). Suivant le résultat de ses investigations, la Chambre de céans pourra soit confirmer la saisie intégrale de l'avoir de prévoyance litigieux, soit inviter l'Office des poursuites à procéder au calcul de la rente viagère annuelle et à établir un nouveau procès-verbal de saisie, incluant la rente de prévoyance que perçoit le débiteur (arrêt TF 5A_844/2020 du 10 juin 2021 consid. 2.4.3).</w:t>
      </w:r>
    </w:p>
    <w:p>
      <w:r>
        <w:rPr>
          <w:b/>
        </w:rPr>
        <w:t>E. 2</w:t>
      </w:r>
    </w:p>
    <w:p>
      <w:r>
        <w:t>En l'espèce, par courrier du 9 juin 2020 adressé à l'Office des poursuites, le débiteur a informé celui- ci de son intention d'affecter le capital du 3ème pilier A qu'il allait percevoir à sa prévoyance afin de couvrir son futur entretien et celui de son épouse, ajoutant que ce montant constituait la seule fortune qui lui restait. De son côté, dans sa détermination à l'attention de la Chambre de céans du 11 septembre 2020, l'Office des poursuites a relevé que les revenus du couple, par CHF 4'828.90, permettaient de couvrir ses charges, par CHF 3'793.20. Il a ajouté que le loyer pris en compte, par CHF 1'700.-, était versé aux enfants du couple, propriétaires du bien immobilier où se trouve le logement, de sorte qu'il devait être qualifié d'excessif, que le débiteur avait effectué, le 27 avril 2020, un versement de CHF 1'500.- à l'attention de D.________ SA, et qu'il avait cessé l'activité lucrative poursuivie après sa retraite</w:t>
      </w:r>
    </w:p>
    <w:p>
      <w:r>
        <w:t>Tribunal cantonal TC Page 4 de 6 pour éviter que son salaire soit saisi en faveur de ses créanciers. L'Office des poursuites en a déduit que, dans la mesure où il disposait de revenus largement supérieurs à son minimum d'existence, on ne pouvait admettre que le capital de prévoyance était destiné à l'entretien du débiteur et de sa famille. Ainsi que le Tribunal fédéral le relève, pour déterminer dans quelle mesure il y a lieu de saisir un capital de prévoyance, il importe peu que les autres revenus saisissables du débiteur couvrent déjà son minimum d'existence, seule la part de la rente (fictive) excédant le minimum vital est saisissable à hauteur de sa valeur d'estimation durant une année, sauf si l'état de fait conduit à retenir que l'attitude du débiteur dénote son intention de ne pas affecter ce montant à des fins de prévoyance. Or, tel n'est pas le cas en l'espèce. En effet, dès lors que le débiteur, né en 1953, a atteint l'âge de la retraite depuis quelques années, il ne saurait être contraint de poursuivre une activité professionnelle, si lucrative soit-elle. Par ailleurs, le simple fait que le loyer du plaignant est versé à ses enfants et qu'il a cessé son activité lucrative, ne suffit pas pour conclure à une intention d'utiliser le capital de prévoyance à un autre but. Si l'Office des poursuites estime que le montant de CHF 1'700.- versé au titre de loyer aux enfants du débiteur est trop élevé par rapport à ses besoins ou à la qualité de l'appartement loué, il lui incombera de clarifier ces questions pour, le cas échéant, réduire le montant des charges du débiteur et augmenter le montant saisissable. Enfin, le versement en faveur de D.________ SA doit certes être questionné s'agissant d'un débiteur qui fait l'objet de poursuites, mais il ne suffit pas pour en conclure que le plaignant n'entend pas consacrer son capital du 3ème pilier A à sa prévoyance. Compte tenu de ce qui précède, c'est à tort que l'Office des poursuites a saisi la totalité du capital du 3ème pilier A du plaignant. La plainte sera par conséquent partiellement admise et la cause renvoyée à l'Office des poursuites afin qu'il procède au calcul de la rente viagère annuelle et établisse un nouveau procès-verbal de saisie, incluant la rente de prévoyance que perçoit le débiteur.</w:t>
      </w:r>
    </w:p>
    <w:p>
      <w:r>
        <w:rPr>
          <w:b/>
        </w:rPr>
        <w:t>E. 3</w:t>
      </w:r>
    </w:p>
    <w:p>
      <w:r>
        <w:t>Le plaignant sollicite d'être mis au bénéfice de l’assistance judiciaire et que Me Simone Zurwerra lui soit désignée en qualité d’avocate d’office.</w:t>
      </w:r>
    </w:p>
    <w:p>
      <w:r>
        <w:rPr>
          <w:b/>
        </w:rPr>
        <w:t>E. 3.1</w:t>
      </w:r>
    </w:p>
    <w:p>
      <w:r>
        <w:t>En vertu de l'art. 142 du code de procédure et de juridiction administrative du 23 mai 1991 (CPJA ; RSF 150.1), applicable par renvoi de l'art. 9 al. 1 de la loi fribourgeoise du 12 février 2015 d'application de la législation fédérale sur la poursuite pour dettes et la faillite (LALP;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du mandataire du plaignant.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w:t>
      </w:r>
    </w:p>
    <w:p>
      <w:r>
        <w:t>Tribunal cantonal TC Page 5 de 6 l'octroi de l'assistance judiciaire se justifie également pour la procédure de plainte des art. 17 ss LP (cf. ATF 122 III 392 consid. 3c). En l'espèce, la question à résoudre pouvait justifier le recours à un mandataire. En outre. dès lors que l'ensemble du disponible du plaignant fait l'objet de la saisie, son indigence est établie. Il y a dès lors lieu de faire droit à sa requête d'assistance judiciaire et de lui désigner, en qualité de défenseur d'office, Me Simone Zurwerra, avocate.</w:t>
      </w:r>
    </w:p>
    <w:p>
      <w:r>
        <w:rPr>
          <w:b/>
        </w:rPr>
        <w:t>E. 3.2</w:t>
      </w:r>
    </w:p>
    <w:p>
      <w:r>
        <w:t>Selon l'art. 145b al. 1bis CPJA, l'indemnité allouée au défenseur désigné est fixée conformément aux dispositions applicables à l'assistance judiciaire en matière civile, soit les art. 56 ss du règlement fribourgeois du 30 novembre 2010 sur la justice (RJ; RSF 130.11). Conformément à l'art. 57 RJ, le président de l'autorité saisie ou un juge délégué fixe l'indemnité équitable allouée au défenseur d'office, compte tenu du travail requis, de l'importance et de la difficulté de l'affaire et sur la base d'un tarif horaire de CHF 180.-; les frais de copie, de port et de téléphone sont fixés forfaitairement à 5 % de l'indemnité. En l’espèce, il se justifie de retenir que la mandataire a consacré une durée totale de 10 heures à la défense de son client par-devant la Chambre de céans, pour l'examen du dossier et la rédaction de la plainte et des déterminations du 28 septembre 2020 et 3 août 2021. Elle donne droit à CHF 1'800.- d’honoraires, CHF 90.- de débours et CHF 145.55 de TVA, soit CHF 2'035.55 au total.</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partiellement admise. La cause est renvoyée à l'Office des poursuites de la Sarine afin qu'il procède au calcul de la rente viagère annuelle et établisse un nouveau procès-verbal de saisie, incluant la rente de prévoyance que perçoit le débiteur. II. La requête d'assistance judiciaire est admise. Partant, pour la procédure de plainte, un défenseur d'office rémunéré par l'Etat est désigné à A.________ en la personne de Me Simone Zurwerra. III. L'indemnité équitable de défenseur d'office due à Me Simone Zurwerra est fixée à CHF 2'035.55, TVA par CHF 145.55 comprise. IV. Il n'est pas perçu de frais judiciaires,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août 2021/dbe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