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109 vom 1. Februar 2022</w:t>
      </w:r>
    </w:p>
    <w:p>
      <w:r>
        <w:t>FR Kantonsgericht, 2022-02-01, DE</w:t>
      </w:r>
    </w:p>
    <w:p>
      <w:r>
        <w:rPr>
          <w:b/>
        </w:rPr>
        <w:t xml:space="preserve">Quelle: </w:t>
      </w:r>
      <w:r>
        <w:t>https://mcp.opencaselaw.ch/entscheid/fr_gerichte_105_2021_109</w:t>
      </w:r>
    </w:p>
    <w:p>
      <w:r>
        <w:t>FR: FR_GERICHTE 105 2021 109 du 1 février 2022</w:t>
      </w:r>
    </w:p>
    <w:p>
      <w:r>
        <w:t>IT: FR_GERICHTE 105 2021 109 del 1 febbraio 2022</w:t>
      </w:r>
    </w:p>
    <w:p>
      <w:pPr>
        <w:pStyle w:val="Heading2"/>
      </w:pPr>
      <w:r>
        <w:t>Regeste</w:t>
      </w:r>
    </w:p>
    <w:p>
      <w:r>
        <w:t>Urteil der Schuldbetreibungs- und Konkurskammer des Kantonsgerichts | Schuldbetreibung (Art. 38-88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 nisation und seine Arbeitsweise [RKG; SGF 131.11]). Die Beschwerde muss innert zehn Tagen ab dem Zeitpunkt, an dem der Beschwerdeführer von der Verfügung Kenntnis erhalten hat, erhoben werden (Art. 17 Abs. 2 SchKG).</w:t>
      </w:r>
    </w:p>
    <w:p>
      <w:r>
        <w:rPr>
          <w:b/>
        </w:rPr>
        <w:t>E. 1.2</w:t>
      </w:r>
    </w:p>
    <w:p>
      <w:r>
        <w:t>Die Verfügung des Betreibungsamtes wurde dem Beschwerdeführerin am 13. Dezember 2021 zugestellt. Somit erfolgte die am 23. Dezember 2021 erhobene Beschwerde fristgerecht (Art. 17 Abs. 2 SchKG). Auch ansonsten genügt sie den gesetzlichen Anforderungen; es ist darauf einzu- treten.</w:t>
      </w:r>
    </w:p>
    <w:p>
      <w:r>
        <w:rPr>
          <w:b/>
        </w:rPr>
        <w:t>E. 1.3</w:t>
      </w:r>
    </w:p>
    <w:p>
      <w:r>
        <w:t>Der Beschwerdeführer beantragt, es sei eine Verhandlung mit persönlicher Befragung anzu- ordnen. Nach Art. 9 des Ausführungsgesetzes zur Bundesgesetzgebung über Schuldbetreibung und Konkurs (AGSchKG, SGF 28.1) kann die Aufsichtsbehörde die Parteien und die Vorsteherin oder den Vorsteher für eine Anhörung vorladen. Es handelt sich folglich um eine Kann-Bestimmung. Da sich vorliegend sämtliche massgebenden Elemente aus den Akten ergeben, verzichtet die Aufsichts- behörde auf eine mündliche Anhörung. Eine persönliche Anhörung des Beschwerdeführers würde keine zusätzlichen Elemente zur vorliegend zu entscheidenden Frage von dessen Wohnsitz liefern.</w:t>
      </w:r>
    </w:p>
    <w:p>
      <w:r>
        <w:rPr>
          <w:b/>
        </w:rPr>
        <w:t>E. 2</w:t>
      </w:r>
    </w:p>
    <w:p>
      <w:r>
        <w:t>Der Beschwerdeführer rügt, er habe nie zu Protokoll gegeben, nach E.________, F.________, umgezogen zu sein. Sein gesetzlicher Wohnsitz sei seit 1977 in D.________, aktuell an der</w:t>
      </w:r>
    </w:p>
    <w:p>
      <w:r>
        <w:t>Kantonsgericht KG Seite 3 von 4 G.________; für die Adresse in E.________, F.________, erhalte er eine Aufenthaltsbewilligung. Die Wohnung an der F.________ miete er sei 17 Jahren. Weil er mit einem Sauerstoffgerät schlafen müsse, kehre er jeden Tag in diese Wohnung zurück. Sein Lebensmittelpunkt befinde sich demge- genüber immer noch in Freiburg, wo sein ganzer Freundeskreis lebe. Er habe keine Familie und lebe alleine. An der G.________ hole er jeden Tag die persönliche Post ab und sei vertraglich Mitmieter der Wohnung von H.________, einer Freundin. Dort habe er für seltene Fälle eine Über- nachtungsmöglichkeit gehabt und nehme normalerweise einmal wöchentlich ein gemeinsames Essen mit ihr ein. Sie habe ihm Geld zum Überleben geliehen.</w:t>
      </w:r>
    </w:p>
    <w:p>
      <w:r>
        <w:rPr>
          <w:b/>
        </w:rPr>
        <w:t>E. 2.1</w:t>
      </w:r>
    </w:p>
    <w:p>
      <w:r>
        <w:t>Nach Art. 46 Abs. 1 SchKG ist der Schuldner an seinem Wohnsitze zu betreiben. Der Wohn- sitzbegriff bestimmt sich nach den allgemeinen Grundsätzen von Art. 23 ZGB. Danach befindet sich der Wohnsitz einer Person an dem Orte, wo sie sich mit der Absicht dauernden Verbleibens aufhält und den Mittelpunkt der Lebensinteressen hat. Dieser Begriff beinhaltet zwei Merkmale: ein objekti- ves, der Aufenthalt an einem bestimmten Ort, sowie ein subjektives, die Absicht dauernden Verblei- bens. Nach der Rechtsprechung kommt es bei diesem letzteren Merkmal nicht auf den inneren Willen der Person an; entscheidend sind einzig objektive, für Dritte erkennbare Umstände, aus denen eine solche Absicht abgeleitet werden kann. Nicht alleine ausschlaggebend sind in diesem Zusammenhang Verwaltungsdokumente wie Fahrzeugausweis, Führerausweis, Identitätspapiere, Bescheinigungen der Fremdenpolizei, Steuerbehörde oder Sozialversicherungen oder Angaben in Gerichtsurteilen oder in amtlichen Veröffentlichungen. Sie stellen sicherlich ernsthafte Indizien für das Vorliegen des Wohnsitzes dar, haben aber keinen Vorrang gegenüber dem Ort, an dem sich der Mittelpunkt der privaten, sozialen und beruflichen Lebensinteressen der betroffenen Person befindet (vgl. Urteil BGer 5A_680/2020 vom 8. Dezember 2020 E. 5.1.1 mit Hinweisen). Hält sich eine Person an zwei verschiedenen Orten auf und hat Beziehungen zu beiden Orten, befindet sich der Wohnsitz am Ort, mit welchem die Person gestützt auf die gesamten Verhältnisse die engsten Beziehungen hat (Urteil BGer 5A_542/2014 vom 18. September 2014 E. 4.1.3).</w:t>
      </w:r>
    </w:p>
    <w:p>
      <w:r>
        <w:rPr>
          <w:b/>
        </w:rPr>
        <w:t>E. 2.2</w:t>
      </w:r>
    </w:p>
    <w:p>
      <w:r>
        <w:t>Gestützt auf die eigenen Angaben des Beschwerdeführers, insbesondere seine Erklärung gegenüber dem Betreibungsamt und den Umstand, dass er wegen seiner Gesundheit zwingend jeden Tag in seine Wohnung nach E.________ zurückkehren muss, muss mit dem Betreibungsamt davon ausgegangen werden, dass sich sein Lebensmittelpunkt und damit sein betreibungsrechtli- cher Wohnsitz in E.________, F.________, befindet. Der Beschwerdeführer hält sich tagtäglich in dieser von ihm offenbar allein bewohnten Wohnung auf und manifestiert durch die dargelegten Umstände auch die Absicht dauernden Verbleibens. Dass sich sein soziales Umfeld anscheinend willentlich ausschliesslich in D.________ befindet und der Beschwerdeführer dort noch einer beruf- lichen (Teilzeit-)Tätigkeit nachgeht, vermag diesen objektiv erkennbaren Umstand nicht zu entkräf- ten. Die eingereichte medizinische Bestätigung für das Mitführen des Sauerstoffgeräts ist jedenfalls auch auf die Adresse in E.________ ausgestellt. Zudem sind an der genannten Adresse bereits mehrere Betreibungen gegen den Beschwerdeführer registriert. Schliesslich hat er in seiner Beschwerde und der spontan eingereichten Stellungnahme vermerkt, dass diese in E.________ der Post übergeben wurden. Es vermag wohl zutreffen, dass der Beschwerdeführer sich noch oft in D.________ aufhält, sein Lebensmittelpunkt liegt aufgrund der gesamten Umstände jedoch in E.________. Folglich ist die Beschwerde abzuweisen.</w:t>
      </w:r>
    </w:p>
    <w:p>
      <w:r>
        <w:rPr>
          <w:b/>
        </w:rPr>
        <w:t>E. 3</w:t>
      </w:r>
    </w:p>
    <w:p>
      <w:r>
        <w:t>Das Verfahren ist kostenlos (Art. 20a Abs. 2 Ziff. 5 SchKG).</w:t>
      </w:r>
    </w:p>
    <w:p>
      <w:r>
        <w:t>Kantonsgericht KG Seite 4 von 4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 Februar 2022/fju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