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91 vom 14. Oktober 2020</w:t>
      </w:r>
    </w:p>
    <w:p>
      <w:r>
        <w:t>FR Kantonsgericht, 2020-10-14, DE</w:t>
      </w:r>
    </w:p>
    <w:p>
      <w:r>
        <w:rPr>
          <w:b/>
        </w:rPr>
        <w:t xml:space="preserve">Quelle: </w:t>
      </w:r>
      <w:r>
        <w:t>https://mcp.opencaselaw.ch/entscheid/fr_gerichte_105_2020_91</w:t>
      </w:r>
    </w:p>
    <w:p>
      <w:r>
        <w:t>FR: FR_GERICHTE 105 2020 91 du 14 octobre 2020</w:t>
      </w:r>
    </w:p>
    <w:p>
      <w:r>
        <w:t>IT: FR_GERICHTE 105 2020 91 del 14 ottobre 2020</w:t>
      </w:r>
    </w:p>
    <w:p>
      <w:pPr>
        <w:pStyle w:val="Heading2"/>
      </w:pPr>
      <w:r>
        <w:t>Regeste</w:t>
      </w:r>
    </w:p>
    <w:p>
      <w:r>
        <w:t>Urteil der Schuldbetreibungs- und Konkurskammer des Kantonsgerichts | Betreibung auf Konkurs (Art. 159-196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Wegen Rechtsverweigerung oder Rechts- verzögerung kann jederzeit Beschwerde geführt werden (Art. 17 Abs. 3 SchKG). Aus der Beschwerdeschrift muss ersichtlich sein, gegen welchen Entscheid sie sich richtet, was daran falsch sein soll und was der Beschwerdeführer verlangt. An die Begründung der Beschwer-</w:t>
      </w:r>
    </w:p>
    <w:p>
      <w:r>
        <w:t>Kantonsgericht KG Seite 3 von 4 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w:t>
      </w:r>
    </w:p>
    <w:p>
      <w:r>
        <w:rPr>
          <w:b/>
        </w:rPr>
        <w:t>E. 1.2</w:t>
      </w:r>
    </w:p>
    <w:p>
      <w:r>
        <w:t>In seiner Beschwerdeschrift vom 8. September 2020 stellt der Beschwerdeführer den Antrag auf Untersuchung der Inventaraufnahme betreffend den Konkurs der B.________ GmbH. Weiter macht er geltend, das Betreibungsamt habe seine Klage abgewiesen, wobei die Begrün- dung nicht korrekt und die im Schreiben vom 10. Juli 2020 aufgestellte Behauptung nicht wahr sei. Da aus der Eingabe nicht unmissverständlich hervorgeht, gegen welchen Entscheid sich die Beschwerde richtet und insbesondere auch keine Beilagen eingereicht wurden, wurde der Beschwerdeführer mit Schreiben vom 10. September 2020 aufgefordert, den angefochtenen Entscheid einzureichen. Daraufhin stellte der Beschwerdeführer der Schuldbetreibungs- und Konkurskammer Kopien der ganzen Unterlagen zum Fall ein; diese beinhalten nebst der Beschwerde vom 8. September 2020 namentlich die Unterlagen des Verfahrens betreffend Anfechtung des Kollokationsplanes, welches noch beim Zivilgericht des Sensebezirks hängig ist. Vorweg sei zu bemerken, dass es sich bei der Eingabe des Konkursamtes vom 10. Juli 2020 entgegen den Ausführungen des Beschwerdeführers nicht um eine Abweisung der beim Zivilge- richt des Sensebezirks hängigen Klage auf Anfechtung des Kollokationsplanes handelt, sondern um die Klageantwort des Konkursamtes in jenem Verfahren. Gemäss Auskunft des Zivilgerichts ist in dieser Sache bislang kein Entscheid ergangen. Solange das erstinstanzliche Gericht befasst ist, kann keine andere Behörde einen materiellen Entscheid fällen. Wenn sich der Beschwerdeführer mit seiner Beschwerde vom 8. September 2020 nun also gegen das Inventar vom 4. Mai 2020 wendet, welches vom 29. Mai 2020 bis zum 8. Juni 2020 aufgelegt wurde, ist seine Beschwerde offensichtlich verspätet. Vorliegend wurde die Auflage des Inventars mit der Auflage des Kollokationsplanes verbunden. In diesem Fall läuft die zehntägige Beschwer- defrist für die Anfechtung des Inventars vom Tage der Auflegung an (Art. 17 Abs. 2 SchKG und Art. 32 Abs. 2 der Verordnung über die Geschäftsführung der Konkursämter [KOV; SR 281.32]). Das Inventar und der Kollokationsplan wurden unbestrittenermassen vom 29. Mai 2020 bis zum 8. Juni 2020 aufgelegt. Folglich begann die Frist für eine allfällige Beschwerde gegen das Inventar mit der Auflage am 29. Mai 2020 zu laufen. Auf die verspätete Beschwerde vom 8. September 2020 kann somit nicht eingetreten werden. Ein anderes Beschwerdeobjekt ist nicht ersichtlich und der Beschwerdeführer macht auch nicht geltend, dass es sich um einen Fall von Rechtsverweige- rung oder Rechtsverzögerung handeln würde, welche jederzeit vorgebracht werden könnten.</w:t>
      </w:r>
    </w:p>
    <w:p>
      <w:r>
        <w:rPr>
          <w:b/>
        </w:rPr>
        <w:t>E. 2</w:t>
      </w:r>
    </w:p>
    <w:p>
      <w:r>
        <w:t>Das Verfahren ist kostenlos (Art. 20a Abs. 2 Ziff. 2 SchKG). (Dispositiv auf nachfolgender Seite)</w:t>
      </w:r>
    </w:p>
    <w:p>
      <w:r>
        <w:t>Kantonsgericht KG Seite 4 von 4 Die Kammer erkennt: I. Auf die Beschwerde vom 8. September 2020 wird nicht eingetreten.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14. Oktober 2020/fju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