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85 vom 19. Juni 2020</w:t>
      </w:r>
    </w:p>
    <w:p>
      <w:r>
        <w:t>FR Kantonsgericht, 2020-06-19, DE</w:t>
      </w:r>
    </w:p>
    <w:p>
      <w:r>
        <w:rPr>
          <w:b/>
        </w:rPr>
        <w:t xml:space="preserve">Quelle: </w:t>
      </w:r>
      <w:r>
        <w:t>https://mcp.opencaselaw.ch/entscheid/fr_gerichte_105_2020_85</w:t>
      </w:r>
    </w:p>
    <w:p>
      <w:r>
        <w:t>FR: FR_GERICHTE 105 2020 85 du 19 juin 2020</w:t>
      </w:r>
    </w:p>
    <w:p>
      <w:r>
        <w:t>IT: FR_GERICHTE 105 2020 85 del 19 giugno 2020</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Soweit nicht eine gerichtliche Klage vorgesehen ist, kann gegen jede Verfügung des Betreibungs- 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Die Pfändungsankündigung wurde dem Beschwerdeführer frühestens am 30. Mai 2020 und spätestens am 7. Juni 2020 zugestellt. Ein Zustellnachweis liegt nicht vor. Der Beschwerdeführer erklärt, die Pfändungsankündigung am 2. Juni 2020 in Empfang genommen zu haben. Wie dem auch sei, die am 8. Juni 2020 eingereichte Beschwerde erfolgte in jedem Fall fristgerecht (Art. 17 Abs. 2 SchKG).</w:t>
      </w:r>
    </w:p>
    <w:p>
      <w:r>
        <w:rPr>
          <w:b/>
        </w:rPr>
        <w:t>E. 2.1</w:t>
      </w:r>
    </w:p>
    <w:p>
      <w:r>
        <w:t>Der Beschwerdeführer macht geltend, dass er mit der Pfändungsankündigung nicht einver- standen sei. Er bestreitet den Bestand der der Betreibung zu Grunde liegenden Forderung. Er habe nie Leistungen der Gläubigerin benutzt und die Forderung sei nicht rechtens. Der Beschwer- deführer verweist dabei auf die mit der Gläubigerin geführte Korrespondenz. In seiner Beschwerde erhebt der Beschwerdeführer keine direkt gegen die Pfändungsankündigung gerichteten Rügen. Es ist auch nicht ersichtlich, dass die Pfändungsankündigung mit Fehlern behaftet wäre.</w:t>
      </w:r>
    </w:p>
    <w:p>
      <w:r>
        <w:rPr>
          <w:b/>
        </w:rPr>
        <w:t>E. 2.2</w:t>
      </w:r>
    </w:p>
    <w:p>
      <w:r>
        <w:t>Der Beschwerdeführer hätte seine Einwendungen in einem früheren Verfahrensstadium geltend machen können. Nach seinen eigenen Angaben hat er es verpasst, rechtzeitig Rechtsvor- schlag gegen den Zahlungsbefehl zu erheben. Hätte er Rechtsvorschlag erhoben, hätte er allen- falls im Rahmen des Rechtsöffnungsverfahrens vorbringen können, dass kein Rechtsöffnungstitel</w:t>
      </w:r>
    </w:p>
    <w:p>
      <w:r>
        <w:t>Kantonsgericht KG Seite 3 von 3 und keine Forderung bestehe. Es liegt nun aber nicht in der Kompetenz des Betreibungsamtes, solche Vorbringen des Schuldners bei der Fortsetzung der Betreibung zu prüfen. Der Bestand einer in Betreibung gesetzten Forderung kann allenfalls mit einer Klage beim Gericht des Betreibungsortes (vgl. Art. 85 und 85a SchKG), nicht aber bei der Aufsichtsbehörde im Rahmen einer Beschwerde nach Art. 17 SchkG bestritten werden.</w:t>
      </w:r>
    </w:p>
    <w:p>
      <w:r>
        <w:rPr>
          <w:b/>
        </w:rPr>
        <w:t>E. 2.3</w:t>
      </w:r>
    </w:p>
    <w:p>
      <w:r>
        <w:t>Folglich ist die Beschwerde abzuweisen, soweit darauf eingetreten werden kann.</w:t>
      </w:r>
    </w:p>
    <w:p>
      <w:r>
        <w:rPr>
          <w:b/>
        </w:rPr>
        <w:t>E. 3</w:t>
      </w:r>
    </w:p>
    <w:p>
      <w:r>
        <w:t>Das Verfahren ist kostenlos (Art. 20a Abs. 2 Ziff. 5 SchKG). Die Kammer erkennt: I. Die Beschwerde wird abgewiesen, soweit darauf eingetreten wird.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19. Juni 2020/mdu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