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120 vom 9. Oktober 2020</w:t>
      </w:r>
    </w:p>
    <w:p>
      <w:r>
        <w:t>FR Kantonsgericht, 2020-10-09, FR</w:t>
      </w:r>
    </w:p>
    <w:p>
      <w:r>
        <w:rPr>
          <w:b/>
        </w:rPr>
        <w:t xml:space="preserve">Quelle: </w:t>
      </w:r>
      <w:r>
        <w:t>https://mcp.opencaselaw.ch/entscheid/fr_gerichte_105_2020_120</w:t>
      </w:r>
    </w:p>
    <w:p>
      <w:r>
        <w:t>FR: FR_GERICHTE 105 2020 120 du 9 octobre 2020</w:t>
      </w:r>
    </w:p>
    <w:p>
      <w:r>
        <w:t>IT: FR_GERICHTE 105 2020 120 del 9 ottobre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28 septembre 2020 porte sur le procès-verbal de saisie et la décision de saisie de salaire du 11 septembre 2020 notifiés au plaignant le 16 septembre 2020. Partant, la plainte a été déposée dans le délai de 10 jours prescrit par l’art. 17 LP.</w:t>
      </w:r>
    </w:p>
    <w:p>
      <w:r>
        <w:rPr>
          <w:b/>
        </w:rPr>
        <w:t>E. 2.1</w:t>
      </w:r>
    </w:p>
    <w:p>
      <w:r>
        <w:t>L'art. 93 al. 1 LP dispose que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L'office des poursuites – qui a une marge d'appréciation – doit se référer aux lignes directrices pour le calcul du minimum d'existence en matière de poursuite (minimum</w:t>
      </w:r>
    </w:p>
    <w:p>
      <w:r>
        <w:t>Tribunal cantonal TC Page 3 de 4 vital), celui-ci devant être fixé en fonction des circonstances de fait existant lors de l'exécution de la saisie. Ce sont les circonstances objectives, et non subjectives, particulières au poursuivi qui sont déterminantes (cf. ATF 134 III 323 consid. 2; arrêt TF 5A_266/2014 du 11 juillet 2014 consid. 3). Si des changements interviennent en cours de saisie, le débiteur doit demander une révision de situation au sens de l'art. 93 al. 3 LP à l'office des poursuites (BSK SchkG I–VONDER MÜHLL, art. 93, n. 17 et 21).</w:t>
      </w:r>
    </w:p>
    <w:p>
      <w:r>
        <w:rPr>
          <w:b/>
        </w:rPr>
        <w:t>E. 2.2</w:t>
      </w:r>
    </w:p>
    <w:p>
      <w:r>
        <w:t>En l'espèce, l’Office des poursuites s’est basé sur les décomptes de salaire 2020 produits et il en ressort que le plaignant perçoit effectivement tous les mois un salaire de CHF 10'046.65. Par conséquent, c’est à juste titre que l’Office des poursuites a établi les faits déterminants et le salaire mensuel versé au plaignant en tenant compte des circonstances au moment de l’exécution de la saisie de revenu et de toutes les informations fournies par le débiteur lui-même. Au demeurant, le plaignant lui-même admet que ce n’est qu’à la fin de l’année 2020 qu’il sera débiteur de son employeur, supposant qu’il ne parviendra pas à réaliser les objectifs annuels en raison de la crise sanitaire actuelle (cf. plainte p. 4 ch. 8 à 10). Si tel devait effectivement être le cas, il appartiendra au débiteur de demander une révision de situation au sens de l’art. 93 al. 3 LP. Il s’ensuit le rejet de la plainte.</w:t>
      </w:r>
    </w:p>
    <w:p>
      <w:r>
        <w:rPr>
          <w:b/>
        </w:rPr>
        <w:t>E. 3</w:t>
      </w:r>
    </w:p>
    <w:p>
      <w:r>
        <w:t>Vu le rejet de la plainte, la requête d'effet suspensif est sans objet.</w:t>
      </w:r>
    </w:p>
    <w:p>
      <w:r>
        <w:rPr>
          <w:b/>
        </w:rPr>
        <w:t>E. 4</w:t>
      </w:r>
    </w:p>
    <w:p>
      <w:r>
        <w:t>Le plaignant sollicite d’être mis au bénéfice de l’assistance judiciaire et que Me Mathilde Bessonnet lui soit désignée en qualité d’avocat d’office. En vertu de l'art. 142 du code de procédure et de juridiction administrative du 23 mai 1991 (CPJA ; RSF 150.1), applicable par renvoi de l'art. 9 al. 1 de la loi fribourgeoise du 12 février 2015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de la mandataire du plaignant.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 En l'espèce, la cause ne présentait pas de difficultés juridiques ou factuelles complexes. Le plaignant aurait pu faire valoir ses arguments dans la procédure de plainte sans recourir à un</w:t>
      </w:r>
    </w:p>
    <w:p>
      <w:r>
        <w:t>Tribunal cantonal TC Page 4 de 4 mandataire. La désignation d’un avocat d’office n’apparaît donc pas nécessaire à la sauvegarde des intérêts du plaignant, ce qui conduit au rejet de la requête d’assistance judiciaire.</w:t>
      </w:r>
    </w:p>
    <w:p>
      <w:r>
        <w:rPr>
          <w:b/>
        </w:rPr>
        <w:t>E. 6</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le procès-verbal de saisie et la décision de saisie de salaire 11 septembre 2020 sont confirmés. II. La requête d’effet suspensif est sans objet. III. La requête d’assistance judiciaire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