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2019 17 vom 25. März 2019</w:t>
      </w:r>
    </w:p>
    <w:p>
      <w:r>
        <w:t>FR Kantonsgericht, 2019-03-25, FR</w:t>
      </w:r>
    </w:p>
    <w:p>
      <w:r>
        <w:rPr>
          <w:b/>
        </w:rPr>
        <w:t xml:space="preserve">Quelle: </w:t>
      </w:r>
      <w:r>
        <w:t>https://mcp.opencaselaw.ch/entscheid/fr_gerichte_105_2019_17</w:t>
      </w:r>
    </w:p>
    <w:p>
      <w:r>
        <w:t>FR: FR_GERICHTE 105 2019 17 du 25 mars 2019</w:t>
      </w:r>
    </w:p>
    <w:p>
      <w:r>
        <w:t>IT: FR_GERICHTE 105 2019 17 del 25 marzo 2019</w:t>
      </w:r>
    </w:p>
    <w:p>
      <w:pPr>
        <w:pStyle w:val="Heading2"/>
      </w:pPr>
      <w:r>
        <w:t>Regeste</w:t>
      </w:r>
    </w:p>
    <w:p>
      <w:r>
        <w:t>Arrêt de la Chambre des poursuites et faillites du Tribunal cantonal | Betreibung auf Konkurs (Art. 159-196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les deux comminations de faillite ont été reçues le 25 janvier 2019. Partant, la plainte déposée le 31 janvier 2019 l'a été en temps utile.</w:t>
      </w:r>
    </w:p>
    <w:p>
      <w:r>
        <w:rPr>
          <w:b/>
        </w:rPr>
        <w:t>E. 2</w:t>
      </w:r>
    </w:p>
    <w:p>
      <w:r>
        <w:t>Le plaignant conteste la poursuite par voie de faillite et requiert la continuation de la poursuite par voie de saisie au motif que les créances en cause seraient des primes d'assurance-accident obligatoire et des primes d'assurance-maladie et que, par conséquent, elles tomberaient sous le coup de l'art. 43 ch. 1bis LP qui exclut la poursuite par voie de faillite pour ce type de créances. Dans ses observations, l'Office a retenu que la poursuite se continue par voie de faillite lorsque le débiteur est inscrit au Registre du commerce dans l'une des qualités énumérées par l'art. 39 LP, ce qui est le cas en l'espèce puisque le plaignant est inscrit au Registre du commerce du canton de Fribourg en tant que chef de la raison individuelle C.________. Il a également fait remarquer qu'exceptionnellement, sur la base de l'art. 43 ch. 1 LP, la poursuite par voie de faillite était exclue pour le recouvrement d'impôts, contributions, émoluments, amendes ou autres prestations de droit public dues à une caisse publique ou à un fonctionnaire. Il cite un ATF 125 III 250 dans lequel le Tribunal fédéral a jugé que les créances d'une compagnie d'assurance-maladie organisée en société anonyme pour des primes d'assurance obligatoire n'étaient pas des créances dues à une caisse publique. Comme la créancière est une compagnie d'assurance-maladie organisée en société anonyme et qu'elle a indiqué comme causes d'obligation "Primes impayées de la période</w:t>
      </w:r>
    </w:p>
    <w:p>
      <w:r>
        <w:t>Tribunal cantonal TC Page 3 de 3 février 18 – avril 18 Assurance obligatoire des soins LAMal" et "Primes impayées de la période mai 18 – juillet 18 Assurance obligatoire des soins LAMal", l'Office estime que les créances tombent sous le coup de l'ATF 125 III 250 et qu'elles ne sont donc pas comprises dans l'exception de l'art. 43 ch. 1 LP. Par conséquent, il estime que c'est à juste titre que l'Office a appliqué la voie de la faillite. Force est de constater que les créances en question se rapportent à des primes impayées de l'assurance-maladie obligatoire envers une compagnie d'assurance-maladie organisée en société anonyme. Par conséquent, c'est avec raison et conformément à la jurisprudence du Tribunal fédéral (cf. ATF 125 III 250 précité) que l'Office a décidé de continuer la poursuite par la voie de la faillite, les conditions d'application de l'art. 43 ch. 1 LP n'étant pas remplies. Quant à l'art. 43 ch. 1bis LP invoqué par le plaignant, il ne trouve pas application en l'espèce puisqu'il ne s'agit pas de primes d'assurance-accident obligatoire. Au vu de ce qui précède, la plainte doit être rejetée, l'Office ayant agi conformément aux dispositions légales applicables.</w:t>
      </w:r>
    </w:p>
    <w:p>
      <w:r>
        <w:rPr>
          <w:b/>
        </w:rPr>
        <w:t>E. 3</w:t>
      </w:r>
    </w:p>
    <w:p>
      <w:r>
        <w:t>Il n'est pas perçu de frais, ni alloué de dépens (art. 20a al. 2 ch. 5 LP; 61 al. 2 let. a et 62 al. 2 OELP). la Chambre arrête : I. La plainte est rejetée. II. Il n'est pas perçu de frais.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mars 2019/sri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