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46 vom 7. Juni 2018</w:t>
      </w:r>
    </w:p>
    <w:p>
      <w:r>
        <w:t>FR Kantonsgericht, 2018-06-07, FR</w:t>
      </w:r>
    </w:p>
    <w:p>
      <w:r>
        <w:rPr>
          <w:b/>
        </w:rPr>
        <w:t xml:space="preserve">Quelle: </w:t>
      </w:r>
      <w:r>
        <w:t>https://mcp.opencaselaw.ch/entscheid/fr_gerichte_105_2018_46</w:t>
      </w:r>
    </w:p>
    <w:p>
      <w:r>
        <w:t>FR: FR_GERICHTE 105 2018 46 du 7 juin 2018</w:t>
      </w:r>
    </w:p>
    <w:p>
      <w:r>
        <w:t>IT: FR_GERICHTE 105 2018 46 del 7 giugno 2018</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 délai de dix jours (17 al. 2 LP). En vertu de l’art. 22 al. 1 LP, l’autorité de surveillance peut, dans le délai de plainte (art. 17 LP) ou même hors délai, déclarer nulle une mesure de l’office si celle-ci est contraire à des dispositions édictées dans l’intérêt public ou dans l’intérêt de personnes qui ne sont pas partie à la procédure.</w:t>
      </w:r>
    </w:p>
    <w:p>
      <w:r>
        <w:rPr>
          <w:b/>
        </w:rPr>
        <w:t>E. 1.2</w:t>
      </w:r>
    </w:p>
    <w:p>
      <w:r>
        <w:t>A.________ a eu le temps nécessaire pour se déterminer, cas échéant, sur les observations de l’Office du 9 mai 2018, de sorte qu’aucun délai supplémentaire ne lui sera fixé pour ce faire, un double échange d’écritures ne se justifiant pas en l’espèce. Par économie de procédure et vu le sort de la plainte, la Chambre statuera sur la requête d’assistance judiciaire dans l’arrêt au fond.</w:t>
      </w:r>
    </w:p>
    <w:p>
      <w:r>
        <w:t>Tribunal cantonal TC Page 3 de 4</w:t>
      </w:r>
    </w:p>
    <w:p>
      <w:r>
        <w:rPr>
          <w:b/>
        </w:rPr>
        <w:t>E. 2.1</w:t>
      </w:r>
    </w:p>
    <w:p>
      <w:r>
        <w:t>A.________ se plaint du fait que l’Office n’a pas respecté l’art. 90 LP dans la mesure où il soutient que l’avis de saisie ne lui a été notifié que le 24 janvier 2018, date de la saisie. Il estime que, de ce fait, il s’ensuit la nullité du procès-verbal ainsi que de la saisie.</w:t>
      </w:r>
    </w:p>
    <w:p>
      <w:r>
        <w:rPr>
          <w:b/>
        </w:rPr>
        <w:t>E. 2.2</w:t>
      </w:r>
    </w:p>
    <w:p>
      <w:r>
        <w:t>L’art. 90 LP dispose que le débiteur doit être avisé de la saisie la veille au plus tard. Il s’agit là d’une règle destinée avant tout à protéger le débiteur afin qu’il puisse prendre ses dispositions et veiller à ce que la saisie soit effectuée avec tous les égards possibles (ATF 115 III 41 / JdT 1991 II 66). Une saisie exécutée en violation de l’art. 90 LP n’est pas nulle mais annulable, sur plainte, lorsque le poursuivi a été lésé dans ses intérêts, faute d’avoir pu y assister (ATF 30 I 796 consid. 2, page 801).</w:t>
      </w:r>
    </w:p>
    <w:p>
      <w:r>
        <w:rPr>
          <w:b/>
        </w:rPr>
        <w:t>E. 2.3</w:t>
      </w:r>
    </w:p>
    <w:p>
      <w:r>
        <w:t>En l’espèce, la saisie du 24 janvier 2018 porte sur des actifs ayant déjà fait l’objet d’une mesure d’exécution forcée lors d’une procédure antérieure exécutée le 2 novembre 2017 à laquelle le débiteur avait assisté. Il a donc pu sauvegarder valablement ses droits et ceux de tiers (cf. arrêt de la Chambre du 26 janvier 2018 dans les causes 105 2017 154 et 170 consid. 1 pour l’historique). C’est d’ailleurs la raison pour laquelle l’avis de saisie mentionnait que sa présence n’était pas indispensable sauf si des modifications étaient intervenues dans sa situation (cf. P. 1 produite par l’Office), ce qui n’est pas le cas. En effet, le débiteur n’aurait pas manqué de le soulever dans sa plainte. Par conséquent, l’avis de saisie notifié le 24 janvier 2018 n’a pas eu pour effet de léser ou de compromettre les intérêts du débiteur lequel n’a subi aucun préjudicie. D’ailleurs, il n’en évoque aucun. Par conséquent, ni la saisie ni le procès-verbal de saisie ne doivent être annulés. Il s’ensuit le rejet de la plainte.</w:t>
      </w:r>
    </w:p>
    <w:p>
      <w:r>
        <w:rPr>
          <w:b/>
        </w:rPr>
        <w:t>E. 3</w:t>
      </w:r>
    </w:p>
    <w:p>
      <w:r>
        <w:t>L’effet suspensif requis par mesure provisionnelle urgente devient sans objet.</w:t>
      </w:r>
    </w:p>
    <w:p>
      <w:r>
        <w:rPr>
          <w:b/>
        </w:rPr>
        <w:t>E. 4</w:t>
      </w:r>
    </w:p>
    <w:p>
      <w:r>
        <w:t>Il n'est pas perçu de frais, ni alloué de dépens (art. 20a al. 2 ch. 5 LP; art. 61 al. 2 let. a et 62 al. 2 de l'ordonnance du 23 septembre 1996 sur les émoluments perçus en application de la loi fédérale sur la poursuite pour dettes et la faillite [OELP; RS 281.35]). Dans la mesure où le présent arrêt est rendu sans frais, la requête d'assistance judiciaire présentée par le plaignant doit être rejetée. Aucun défenseur d’office ne sera désigné au plaignant puisque la cause ne revêt aucune complexité et que l’assistance d’un avocat n’est pas nécessaire. (dispositif en page suivante)</w:t>
      </w:r>
    </w:p>
    <w:p>
      <w:r>
        <w:t>Tribunal cantonal TC Page 4 de 4 la Chambre arrête: I. La plainte est rejetée. II. La requête d’effet suspensif est sans objet. III. La requête d’assistance judiciaire et de désignation d’un défenseur est rejetée. IV. Il n’est pas perçu de frais, ni alloué de dépens. 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juin 2018/cov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