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184 vom 30. November 2018</w:t>
      </w:r>
    </w:p>
    <w:p>
      <w:r>
        <w:t>FR Kantonsgericht, 2018-11-30, FR</w:t>
      </w:r>
    </w:p>
    <w:p>
      <w:r>
        <w:rPr>
          <w:b/>
        </w:rPr>
        <w:t xml:space="preserve">Quelle: </w:t>
      </w:r>
      <w:r>
        <w:t>https://mcp.opencaselaw.ch/entscheid/fr_gerichte_105_2018_184</w:t>
      </w:r>
    </w:p>
    <w:p>
      <w:r>
        <w:t>FR: FR_GERICHTE 105 2018 184 du 30 novembre 2018</w:t>
      </w:r>
    </w:p>
    <w:p>
      <w:r>
        <w:t>IT: FR_GERICHTE 105 2018 184 del 30 novembre 2018</w:t>
      </w:r>
    </w:p>
    <w:p>
      <w:pPr>
        <w:pStyle w:val="Heading2"/>
      </w:pPr>
      <w:r>
        <w:t>Regeste</w:t>
      </w:r>
    </w:p>
    <w:p>
      <w:r>
        <w:t>Arrêt de la Chambre des poursuites et faillites du Tribunal cantonal | Schuldbetreibung (Art. 38-88 SchKG)</w:t>
      </w:r>
    </w:p>
    <w:p>
      <w:pPr>
        <w:pStyle w:val="Heading2"/>
      </w:pPr>
      <w:r>
        <w:t>Erwägungen</w:t>
      </w:r>
    </w:p>
    <w:p>
      <w:r>
        <w:rPr>
          <w:b/>
        </w:rPr>
        <w:t>E. 12</w:t>
      </w:r>
    </w:p>
    <w:p>
      <w:r>
        <w:t>ans, disposait de la capacité de discernement nécessaire pour que le commandement de payer puisse valablement être notifié en ses mains. En effet, dès lors que le débiteur s'est présenté à l'Office des poursuites le 8 novembre 2018 pour former opposition, force est de constater qu'il avait eu connaissance du commandement de payer. Il en avait par ailleurs la "détention de fait" puisqu'il l'a produit en annexe à sa plainte. Le débiteur a en outre été en mesure de sauvegarder ses droits et de former opposition en temps utile, même à admettre que la notification ait eu lieu le 30 octobre 2018, date de la remise au fils du plaignant. Au vu de ce qui précède, la plainte s'avère injustifiée, ce qui conduit à son rejet.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de A.________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novembre 2018/dbe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