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121 vom 19. Juli 2018</w:t>
      </w:r>
    </w:p>
    <w:p>
      <w:r>
        <w:t>FR Kantonsgericht, 2018-07-19, DE</w:t>
      </w:r>
    </w:p>
    <w:p>
      <w:r>
        <w:rPr>
          <w:b/>
        </w:rPr>
        <w:t xml:space="preserve">Quelle: </w:t>
      </w:r>
      <w:r>
        <w:t>https://mcp.opencaselaw.ch/entscheid/fr_gerichte_105_2018_121</w:t>
      </w:r>
    </w:p>
    <w:p>
      <w:r>
        <w:t>FR: FR_GERICHTE 105 2018 121 du 19 juillet 2018</w:t>
      </w:r>
    </w:p>
    <w:p>
      <w:r>
        <w:t>IT: FR_GERICHTE 105 2018 121 del 19 luglio 2018</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Les plaignantes indiquent que leur plainte relève de l’art. 239 LP, subsidiairement de l’art. 17 LP.</w:t>
      </w:r>
    </w:p>
    <w:p>
      <w:r>
        <w:rPr>
          <w:b/>
        </w:rPr>
        <w:t>E. 1.1</w:t>
      </w:r>
    </w:p>
    <w:p>
      <w:r>
        <w:t>Les décisions prises lors de la première assemblée des créanciers peuvent être attaquées par le biais d’une plainte à l’autorité de surveillance (art. 239 al. 1 LP). L’art. 239 LP est une lex specialis par rapport à l’art. 17 LP. La voie de la plainte ouverte par l’art. 239 LP s’assimile pleinement à celle prévue par l’art. 17 LP (cf. CR LP - JEANDIN / FISCHER, 2005, art. 239 n. 1). Conformément à l’art. 5 de la loi du 12 février 2015 d’application de la législation fédérale sur la poursuite pour dettes et la faillite (LALP; RSF 28.1), le Tribunal cantonal est l’autorité de surveillance des offices des poursuites et de l’Office des faillites. Toutes les décisions sont attaquables, qu’elles portent sur le choix de l’administration en charge de la liquidation, du principe et des modalités de la mise en place d’une commission de surveillance, d’élections y relative ou de résolutions d’urgence prises selon l’art. 238 LP (cf. CR LP - JEANDIN / FISCHER, 2005, art. 239 n. 5). Tribunal cantonal TC Page 3 de 4</w:t>
      </w:r>
    </w:p>
    <w:p>
      <w:r>
        <w:rPr>
          <w:b/>
        </w:rPr>
        <w:t>E. 1.2</w:t>
      </w:r>
    </w:p>
    <w:p>
      <w:r>
        <w:t>Sauf dans les cas où la loi prescrit la voie judiciaire, il peut être porté plainte à l’autorité de surveillance lorsqu’une mesure de l’office est contraire à la loi ou ne paraît pas justifiée en fait (art. 17 al. 1 LP).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(cf. ATF 142 III 643 consid. 3.1).</w:t>
      </w:r>
    </w:p>
    <w:p>
      <w:r>
        <w:rPr>
          <w:b/>
        </w:rPr>
        <w:t>E. 1.3</w:t>
      </w:r>
    </w:p>
    <w:p>
      <w:r>
        <w:t>En l’espèce, les plaignantes demandent la rectification du procès-verbal de la première assemblée des créanciers mais ne s’en prennent pas aux décisions qui ont été prises par cette assemblée, à savoir celles qui se rapportent à l’administration spéciale et à la commission de surveillance. Les rectifications demandées concernent des points qui ont fait l’objet d’une discussion libre lors de laquelle des questions ont pu être posées et des informations ont été récoltées sur la base des réponses données. Aucune décision portant sur la remise des pièces et des serveurs à l’OFAIL n’a été prise par la première assemblée des créanciers qui n’ont pas procédé au vote sur ce point (cf. art. 235 al. 4 LP) ou par le Préposé de l’OFAIL qui n’a fait que présider la séance sans prendre de décisions ou d’autres mesures.</w:t>
      </w:r>
    </w:p>
    <w:p>
      <w:r>
        <w:rPr>
          <w:b/>
        </w:rPr>
        <w:t>E. 1.4</w:t>
      </w:r>
    </w:p>
    <w:p>
      <w:r>
        <w:t>Au demeurant, l’autorité de surveillance, qui n’a pas assisté à la première assemblée des créanciers, n’est pas en mesure d’ordonner la rectification d’un procès-verbal qui a été signé par les membres du bureau et de l’OFAIL et qui fait foi jusqu’à preuve du contraire (art. 8 al. 2 LP).</w:t>
      </w:r>
    </w:p>
    <w:p>
      <w:r>
        <w:rPr>
          <w:b/>
        </w:rPr>
        <w:t>E. 1.5</w:t>
      </w:r>
    </w:p>
    <w:p>
      <w:r>
        <w:t>Compte tenu de ce qui précède, la plainte est irrecevable.</w:t>
      </w:r>
    </w:p>
    <w:p>
      <w:r>
        <w:rPr>
          <w:b/>
        </w:rPr>
        <w:t>E. 2</w:t>
      </w:r>
    </w:p>
    <w:p>
      <w:r>
        <w:t>La requête d’effet suspensif devient sans objet.</w:t>
      </w:r>
    </w:p>
    <w:p>
      <w:r>
        <w:rPr>
          <w:b/>
        </w:rPr>
        <w:t>E. 3</w:t>
      </w:r>
    </w:p>
    <w:p>
      <w:r>
        <w:t>Il n'est pas perçu de frais, ni alloué de dépens (art. 20a al. 2 ch. 5 LP, 61 al. 2 let. a et 62 al. 2 OELP). (dispositif en page suivante) Tribunal cantonal TC Page 4 de 4 Chambre arrête: I. La plainte est irrecevable.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2018/cov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