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112 vom 24. September 2018</w:t>
      </w:r>
    </w:p>
    <w:p>
      <w:r>
        <w:t>FR Kantonsgericht, 2018-09-24, DE</w:t>
      </w:r>
    </w:p>
    <w:p>
      <w:r>
        <w:rPr>
          <w:b/>
        </w:rPr>
        <w:t xml:space="preserve">Quelle: </w:t>
      </w:r>
      <w:r>
        <w:t>https://mcp.opencaselaw.ch/entscheid/fr_gerichte_105_2018_112</w:t>
      </w:r>
    </w:p>
    <w:p>
      <w:r>
        <w:t>FR: FR_GERICHTE 105 2018 112 du 24 septembre 2018</w:t>
      </w:r>
    </w:p>
    <w:p>
      <w:r>
        <w:t>IT: FR_GERICHTE 105 2018 112 del 24 settembre 2018</w:t>
      </w:r>
    </w:p>
    <w:p>
      <w:pPr>
        <w:pStyle w:val="Heading2"/>
      </w:pPr>
      <w:r>
        <w:t>Regeste</w:t>
      </w:r>
    </w:p>
    <w:p>
      <w:r>
        <w:t>Urteil der Schuldbetreibungs- und Konkurskammer des Kantonsgerichts | Betreibung auf Pfändung (Art. 89-150 SchKG)</w:t>
      </w:r>
    </w:p>
    <w:p>
      <w:pPr>
        <w:pStyle w:val="Heading2"/>
      </w:pPr>
      <w:r>
        <w:t>Erwägungen</w:t>
      </w:r>
    </w:p>
    <w:p>
      <w:r>
        <w:rPr>
          <w:b/>
        </w:rPr>
        <w:t>E. 1</w:t>
      </w:r>
    </w:p>
    <w:p>
      <w:r>
        <w:t>Soweit nicht eine gerichtliche Klage vorgesehen ist, kann grundsätzlich gegen jede Verfügung des Betreibungsamts bei der Schuldbetreibungs- und Konkurskammer des Kantonsgerichts als Aufsichtsbehörde wegen Gesetzesverletzung oder Unangemessenheit Beschwerde geführt werden (Art. 17 Abs. 1 SchKG; Art. 5 des Ausführungsgesetzes vom 12. Februar 2015 zur Bundesgesetzgebung über Schuldbetreibung und Konkurs [AGSchKG; SGF 28.1] sowie Art. 19 des Reglements für das Kantonsgericht betreffend seine Organisation und seine Arbeitsweise Kantonsgericht KG Seite 3 von 3 [RKG; SGF 131.11]). Die Beschwerde muss aber einen praktischen Verfahrenszweck verfolgen und eine Korrektur im Sinn eines Zurückkommens auf die angefochtene Handlung muss noch möglich sein. Auf Beschwerden zum blossen Zweck, die Pflichtwidrigkeit einer Handlung oder Unterlassung eines Vollstreckungsorgans feststellen zu lassen, ist nicht einzutreten (Urteil BGer 5A_703/2013 vom 6. Februar 2014 E. 2.1 mit weiteren Hinweisen; vgl. auch COMETTA/MÖCKLI, in Basler Kommentar Bundesgesetz über Schuldbetreibung und Konkurs I, 2. Aufl. 2010, Art. 17 N. 7; MAIER/VAGNATO, in Kommentar zum Bundesgesetz über Schuldbetreibung und Konkurs, 4. Aufl. 2017, Art. 17 N. 12 und 16). Die Amtstätigkeit eines Vollstreckungsorgans im Allgemeinen ist nicht anfechtungsfähig (AMONN/WALTHER, Grundriss des Schuldbetreibungs- und Konkursrechts, 9. Aufl. 2013, § 6 N. 7; COMETTA/MÖCKLI, Art. 17 N. 22; MAIER/VAGNATO, Art. 17 N. 16). Die Beschwerdeführer wenden sich gegen die Überweisung des Betrages, welchen sie dem Betreibungsamt in der Absicht der Hinterlegung übergeben haben, an den Gläubiger. Das Betreibungsamt nahm den Betrag gestützt auf Art. 12 SchKG entgegen und veranlasste die Überweisung an den Gläubiger, was das Erlöschen der Schuld zur Folge hat. Diese Handlung kann nicht rückgängig gemacht werden, weshalb es am praktischen Interesse an der Beschwerde fehlt. Auf die Beschwerde wird folglich nicht eingetreten.</w:t>
      </w:r>
    </w:p>
    <w:p>
      <w:r>
        <w:rPr>
          <w:b/>
        </w:rPr>
        <w:t>E. 2</w:t>
      </w:r>
    </w:p>
    <w:p>
      <w:r>
        <w:t>Das Verfahren ist kostenlos (Art. 20a Abs. 2 Ziff. 5 SchKG). Der Hof erkennt: I. Auf die Beschwerde wird nicht eingetreten. II. Es werden keine Kosten erhoben.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24. September 2018/fju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