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2017 59 vom 3. Oktober 2017</w:t>
      </w:r>
    </w:p>
    <w:p>
      <w:r>
        <w:t>FR Kantonsgericht, 2017-10-03, FR</w:t>
      </w:r>
    </w:p>
    <w:p>
      <w:r>
        <w:rPr>
          <w:b/>
        </w:rPr>
        <w:t xml:space="preserve">Quelle: </w:t>
      </w:r>
      <w:r>
        <w:t>https://mcp.opencaselaw.ch/entscheid/fr_gerichte_105_2017_59</w:t>
      </w:r>
    </w:p>
    <w:p>
      <w:r>
        <w:t>FR: FR_GERICHTE 105 2017 59 du 3 octobre 2017</w:t>
      </w:r>
    </w:p>
    <w:p>
      <w:r>
        <w:t>IT: FR_GERICHTE 105 2017 59 del 3 ottobre 2017</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L’effet suspensif est restitué. Aucune mesure d’exécution de la saisie ne peut être prise.</w:t>
      </w:r>
    </w:p>
    <w:p>
      <w:r>
        <w:rPr>
          <w:b/>
        </w:rPr>
        <w:t>E. 2</w:t>
      </w:r>
    </w:p>
    <w:p>
      <w:r>
        <w:t>La nullité de la saisie et du PV du 12 avril 2017 est constatée.</w:t>
      </w:r>
    </w:p>
    <w:p>
      <w:r>
        <w:rPr>
          <w:b/>
        </w:rPr>
        <w:t>E. 2.1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w:t>
      </w:r>
    </w:p>
    <w:p>
      <w:r>
        <w:rPr>
          <w:b/>
        </w:rPr>
        <w:t>E. 2.2</w:t>
      </w:r>
    </w:p>
    <w:p>
      <w:r>
        <w:t>En l'espèce, l’opération de saisie contestée s’est déroulée le 8 mars 2017 (cf. pièces 1 du bordereau de pièce du plaignant) et le plaignant a déposé sa plainte le 1er mai 2017. Partant, la plainte en question est tardive en ce qui concerne la saisie. Ce premier grief est en outre sans objet, dans la mesure où aussi bien la Chambre que le Tribunal fédéral, qui a déclaré le recours du plaignant irrecevable, ont d’ores et déjà tranché la question de l’annulation de la saisie auprès de la Banque E.________ de F.________ à l’occasion d’une précédente procédure (cf. arrêt TC FR 105 2017 41 du 24 mai 2017 et arrêt du TF 5A_451/2017 du 20 juin 2017). La Chambre se réfère par conséquent à sa motivation et n’entrera plus en matière sur ce grief. A.________ conteste également le calcul du minimum d’existence du 12 avril 2017. En ce qui concerne ce volet, la plainte a été déposée en temps utile, est motivée succinctement et contient une conclusion. Partant, elle est recevable.</w:t>
      </w:r>
    </w:p>
    <w:p>
      <w:r>
        <w:t>Tribunal cantonal TC Page 4 de 5 3.</w:t>
      </w:r>
    </w:p>
    <w:p>
      <w:r>
        <w:rPr>
          <w:b/>
        </w:rPr>
        <w:t>E. 3</w:t>
      </w:r>
    </w:p>
    <w:p>
      <w:r>
        <w:t>Le tribunal cantonal retire l’ensemble de ses poursuites et constate la nullité des actes qui, de près ou de loin, violent ma présomption d’innocence ainsi que l’art. 49 al. 1 LJ. Toutes les mesures d’exécution de ces actes sont suspendues. Toutes les poursuites pendantes sont suspendues. Aussi, tous les arrêts prononcés par le TC sont suspendus, aucune mesure d’exécution ne peut être prononcée, celles en cours sont révoquées.</w:t>
      </w:r>
    </w:p>
    <w:p>
      <w:r>
        <w:rPr>
          <w:b/>
        </w:rPr>
        <w:t>E. 3.1</w:t>
      </w:r>
    </w:p>
    <w:p>
      <w:r>
        <w:t>Le plaignant remet en cause le calcul de son minimum vital effectué par l'Office, dans la mesure où ce dernier ne tient pas compte de ses impôts.</w:t>
      </w:r>
    </w:p>
    <w:p>
      <w:r>
        <w:rPr>
          <w:b/>
        </w:rPr>
        <w:t>E. 3.2</w:t>
      </w:r>
    </w:p>
    <w:p>
      <w:r>
        <w:t>En vertu de l'art. 93 LP, tous les revenus du travail, de même que les prestations de toutes sortes qui sont destinées à couvrir une perte de gain ou une prétention découlant du droit d'entretien peuvent être saisis, déduction faite de ce que le préposé estime indispensable au débiteur et à sa famille. Cette disposition garantit à ces derniers la possibilité de mener une existence décente, sans toutefois les protéger contre la perte des commodités de la vie; elle vise à empêcher que l'exécution forcée ne porte atteinte à leurs intérêts fondamentaux, les menacent dans leur vie ou leur santé ou leur interdise tout contact avec le monde extérieur (cf. arrêt TF 5A_470/2008 du 19 janvier 2009 consid. 2). L'office des poursuites s'appuie à cet égard sur les « Lignes directrices pour le calcul du minimum vital du droit des poursuites selon l'article 93 LP ». Ces directives donnent une valeur modulable nécessaire aux besoins essentiels, dont les offices peuvent adapter l’étendue pour tenir compte des circonstances du cas d’espèce (cf. arrêt TF 5A_919/2012 du 11 février 2013 consid. 4.3.1). Ce montant de base comprend les frais pour l'alimentation, les vêtements et le linge y compris leur entretien, les soins corporels et de santé, l'entretien du logement, les frais culturels ainsi que les dépenses pour l'éclairage, le courant électrique ou le gaz pour la cuisine. Il convient d'ajouter à ce montant de base notamment le montant du loyer effectif et les cotisations sociales, ainsi que les frais médicaux et de médicaments. En revanche, les impôts ne doivent pas être pris en compte pour le calcul du minimum vital (cf. ATF 140 III 337 consid. 4.4). Dans la mesure où il est conforme à la jurisprudence de ne pas tenir compte de la charge fiscale dans le calcul du minimum vital, le calcul de la quotité saisissable du plaignant ne prête pas le flanc à la critique. Le grief du plaignant est manifestement mal fondé et la plainte est rejetée. 4. Vu le sort de la plainte, les autres conclusions prises par le plaignant quant à la suspension de tous les arrêts du Tribunal cantonal, au retrait de l’ensemble des poursuites introduites par ce dernier et à la suspension de toutes les mesures d’exécution, requises au titre de mesures provisionnelles urgentes et largement irrecevables au motif qu’elles s’écartent de l’objet du litige, deviennent sans objet. Il en va de même des conclusions tendant à l’annulation de l’arrêt 102 2017 80, de la requête de suspension de toutes les décisions auxquelles certains magistrats ont participé, ainsi que de la requête d’effet suspensif.</w:t>
      </w:r>
    </w:p>
    <w:p>
      <w:r>
        <w:rPr>
          <w:b/>
        </w:rPr>
        <w:t>E. 4</w:t>
      </w:r>
    </w:p>
    <w:p>
      <w:r>
        <w:t>La nullité de l’arrêt 102 2017 80 du 4 avril 2017 est constatée. Les actes auxquels AUDERGON, OVERNEY, BETI et URWYLER ont participé ou qui en dépendent sont suspendus. Toutes les mesures d’exécution d’actes auxquels ces personnes ont participé ou qui en dépendent de près ou de loin sont suspendus.</w:t>
      </w:r>
    </w:p>
    <w:p>
      <w:r>
        <w:rPr>
          <w:b/>
        </w:rPr>
        <w:t>E. 5</w:t>
      </w:r>
    </w:p>
    <w:p>
      <w:r>
        <w:t>Il n'est pas perçu de frais, ni alloué de dépens (art. 20a al. 2 ch. 5 LP ; art. 61 al. 2 let. a et 62 al. 2 de l'ordonnance du 23 septembre 1996 sur les émoluments perçus en application de la loi fédérale sur la poursuite pour dettes et la faillite [OELP; RS 281.35]). Dans la mesure où le présent arrêt est rendu sans frais, la requête d'assistance judiciaire présentée par le plaignant doit être rejetée, étant par ailleurs relevé que l'assistance d'un avocat aurait été inutile en l’espèce au motif que les principaux griefs soulevés avaient d’ores et déjà été traités.</w:t>
      </w:r>
    </w:p>
    <w:p>
      <w:r>
        <w:t>Tribunal cantonal TC Page 5 de 5 la Chambre arrête: I. Les requêtes de récusation (105 2017 112) sont irrecevables. II. La plainte (105 2017 59) est rejetée dans la mesure de sa recevabilité. III. La requête d'effet suspensif et les mesures provisionnelles urgentes sont sans objet. IV. La requête d'assistance judiciaire (105 2017 87) est rejetée. V. Il n’est pas perçu de frais, ni alloué de dépens. VI.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octobre 2017/sag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