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20 vom 17. März 2017</w:t>
      </w:r>
    </w:p>
    <w:p>
      <w:r>
        <w:t>FR Kantonsgericht, 2017-03-17, DE</w:t>
      </w:r>
    </w:p>
    <w:p>
      <w:r>
        <w:rPr>
          <w:b/>
        </w:rPr>
        <w:t xml:space="preserve">Quelle: </w:t>
      </w:r>
      <w:r>
        <w:t>https://mcp.opencaselaw.ch/entscheid/fr_gerichte_105_2017_20</w:t>
      </w:r>
    </w:p>
    <w:p>
      <w:r>
        <w:t>FR: FR_GERICHTE 105 2017 20 du 17 mars 2017</w:t>
      </w:r>
    </w:p>
    <w:p>
      <w:r>
        <w:t>IT: FR_GERICHTE 105 2017 20 del 17 marzo 2017</w:t>
      </w:r>
    </w:p>
    <w:p>
      <w:pPr>
        <w:pStyle w:val="Heading2"/>
      </w:pPr>
      <w:r>
        <w:t>Regeste</w:t>
      </w:r>
    </w:p>
    <w:p>
      <w:r>
        <w:t>Urteil der Schuldbetreibungs- und Konkurskammer des Kantonsgerichts | Schuldbetreibung (Art. 38-88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 gerichts als Aufsichtsbehörde gelangt werden (Art. 17 Abs. 1 SchKG; Art. 13 SchKG i.V.m. Art. 5 des Ausführungsgesetzes zur Bundesgesetzgebung über Schuldbetreibung und Konkurs vom 12. Februar 2015 [AGSchKG; SGF 28.1]). Die Beschwerde muss innert zehn Tagen ab dem Zeit- punkt, an dem der Beschwerdeführer von der Verfügung Kenntnis erhalten hat, erhoben werden (Art. 17 Abs. 2 SchKG). b) Die angefochtene Verfügung wurde am 31. Januar 2017 versandt. Mit Eingabe vom 8. Februar 2017 erhob die Beschwerdeführerin Beschwerde. Diese erfolgte somit innert der 10-tägigen Frist gemäss Art. 17 Abs. 2 SchKG. c) Aus der Beschwerdeschrift muss ersichtlich sein, gegen welchen Entscheid sie sich rich- 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 tens aber muss die Beschwerde einen Antrag und eine summarische Begründung aufweisen, an- sonsten kann nicht darauf eingetreten werden. Die Beschwerde enthält sowohl einen Antrag als auch eine Begründung und es ist klar, gegen welchen Entscheid sie sich richtet; sie genügt folglich den gesetzlichen Anforderungen. Auf die form- und fristgerechten Beschwerden ist einzutreten.</w:t>
      </w:r>
    </w:p>
    <w:p>
      <w:r>
        <w:rPr>
          <w:b/>
        </w:rPr>
        <w:t>E. 2</w:t>
      </w:r>
    </w:p>
    <w:p>
      <w:r>
        <w:t>a) Die Beschwerdeführerin führt im Wesentlichen aus, das Retentionsrecht des Vermieters sei im vorliegenden Fall gemäss Art. 268 Abs. 3 OR ausgeschlossen. Das Kunstwerk sei unpfänd- bar, da es als Gesamtwerk Bestandteil eines internationalen Friedens- und Umweltprojektes sei. Es dürften keine einzelnen Werke daraus verkauft werden, da das Gesamtwerk nicht für den</w:t>
      </w:r>
    </w:p>
    <w:p>
      <w:r>
        <w:t>Kantonsgericht KG Seite 3 von 4 Kommerz, sondern als Kulturerbe für humanitäre Zwecke gedacht sei. Das Betreibungsamt hält in seiner Stellungnahme unter anderem fest, beim gemieteten Lagerraum handle es sich um einen Geschäftsraum, da die Beschwerdeführerin als Künstlerin auf eigene Rechnung arbeite. Bei einem Kunstwerk handle es sich nicht um einen nach Art. 92 SchKG unpfändbaren Gegenstand, es un- terliege damit dem Retentionsrecht nach Art. 283 SchKG. b) Der Vermieter von Geschäftsräumen hat für einen verfallenen Jahreszins und den lau- fenden Halbjahreszins ein Retentionsrecht an den beweglichen Sachen, die sich in den vermiete- ten Räumen befinden und zu deren Einrichtung oder Benutzung gehören (Art. 268 Abs. 1 OR). Ausgeschlossen ist das Retentionsrecht an Sachen, die durch die Gläubiger des Mieters nicht ge- pfändet werden könnten (Art. 268 Abs. 3 OR). Das Gesetz definiert den Begriff des Geschäftsraumes nicht. Nach der bundesgerichtlichen Defini- tion ist jedes Mietobjekt Geschäftsraum, „welches der Entfaltung der privaten oder wirtschaftlichen Persönlichkeit des Mieters dient“ (BGE 124 III 108 E. 2b). Primär sind darunter Räumlichkeiten zu verstehen, die laut Mietvertrag einer wirtschaftlichen Tätigkeit, mithin dem Handel, dem Betrieb eines Gewerbes oder der Ausübung eines Berufes dienen (WEBER, in Basler Kommentar OR I,</w:t>
      </w:r>
    </w:p>
    <w:p>
      <w:r>
        <w:rPr>
          <w:b/>
        </w:rPr>
        <w:t>E. 6</w:t>
      </w:r>
    </w:p>
    <w:p>
      <w:r>
        <w:t>Aufl. 2015, Art. 253a/253b OR N. 11). Die Botschaft nennt als Beispiele Büros, Verkaufsräume, Werkstätten, Magazine und Lagerräume (Botschaft zur Revision des Miet- und Pachtrechts vom 27. März 1985, BBl 1985 I 1421). Der Retention in diesen Geschäftsräumen unterliegen nur Ge- genstände, welche nach Art. 92 SchKG pfändbar sind (Art. 268 Abs. 3 OR). Nicht retinierbar sind damit insbesondere diejenigen Gegenstände, welche zur Ausübung des Berufes notwendig sind (BGE 117 III 20 E. 2). Es muss sich um Gegenstände handeln, die für eine rationelle und kon- kurrenzfähige Ausübung eines Berufes notwendig sind. Dies bedeutet, dass ohne diese Werk- zeuge der Beruf nicht mehr ausgeübt werden kann. Unpfändbar sind daher nur Werkzeuge und ähnliche Hilfsmittel (KREN KOSTKIEWICZ, in, Kurzkommentar SchKG, 2. Aufl. 2014, Art. 92 N. 40). Welche Gegenstände dem Retentionsrecht unterstehen, hängt damit im Wesentlichen von der Zweckbestimmung der Geschäftsräume ab. So können beispielsweise Büromöbel, Warenvorräte im Lagerhaus, Maschinen beschlagnahmt werden (BGE 120 III 52 E. 8a). Sachen mit blossen Affektionswert bzw. solche ohne einen realisierbaren Vermögenswert können nicht gepfändet wer- den, davon ausgenommen sind jedoch Objekte mit einem künstlerischen bzw. antiquariarischen Wert (KREN KOSTKIEWICZ, Art. 92 N. 4). c) Dass es sich beim Kunstwerk um eine bewegliche Sache handelt, welche sich im gemie- teten Raum befindet und zu deren Einrichtung oder Benutzung gehört, ist nicht bestritten. Der La- gerraum dient vorliegend nicht wie eine Galerie direkt der Ausübung des Berufes der Beschwer- deführerin, jedoch fallen unter Geschäftsräume gemäss Botschaft auch Lagerräume. Damit ist der gemietete Lagerraum als Geschäftsraum anzusehen und eine Retention an den darin gelagerten Objekten grundsätzlich möglich. Fraglich ist damit einzig, ob es sich bei den Werken um eine unpfändbare Sache i.S.v. Art. 92 SchKG handelt oder nicht. Bei Kunstobjekten handelt es sich, auch wenn sie einer Künstlerin ge- hören, nicht um Kompetenzgüter nach Art. 92 SchKG. Die Schuldnerin kann ihren Beruf auch noch ausüben, wenn eines bzw. mehrere ihrer Werke gepfändet werden. Diese sind nicht notwendig für die Ausübung ihres Berufes sondern dessen Resultat. Der Umstand, dass das Gesamtkunstwerk nicht für den Kommerz gedacht ist, führt nicht dazu, dass es und seine Bestandteile keinen wirt- schaftlichen Wert haben. Dieser ist, da es sich um Kunstobjekte handelt, durch einen Sachver- ständigen zu schätzen (BGE 93 III 20). Daraus wird ersichtlich, ob das Kunstwerk zur Deckung der Retentionsforderung als Einheit oder nur einzelne Werke davon zu retinieren bzw. zu pfänden sind.</w:t>
      </w:r>
    </w:p>
    <w:p>
      <w:r>
        <w:t>Kantonsgericht KG Seite 4 von 4 3. Kosten sind keine zu erheben (Art. 20a Abs. 2 Ziff. 5 SchKG). Die Kammer erkennt: I. Die Beschwerde wird abgewiesen. II. Es werden keine Kosten erhoben (Art. 20a Abs. 2 Ziff. 5 SchKG).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17. März 2017/pra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