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18 vom 7. März 2017</w:t>
      </w:r>
    </w:p>
    <w:p>
      <w:r>
        <w:t>FR Kantonsgericht, 2017-03-07, DE</w:t>
      </w:r>
    </w:p>
    <w:p>
      <w:r>
        <w:rPr>
          <w:b/>
        </w:rPr>
        <w:t xml:space="preserve">Quelle: </w:t>
      </w:r>
      <w:r>
        <w:t>https://mcp.opencaselaw.ch/entscheid/fr_gerichte_105_2017_18</w:t>
      </w:r>
    </w:p>
    <w:p>
      <w:r>
        <w:t>FR: FR_GERICHTE 105 2017 18 du 7 mars 2017</w:t>
      </w:r>
    </w:p>
    <w:p>
      <w:r>
        <w:t>IT: FR_GERICHTE 105 2017 18 del 7 marzo 2017</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a) Soweit nicht eine gerichtliche Klage vorgesehen ist, kann gegen jede Verfügung des Betreibungsamts mit Beschwerde an die Schuldbetreibungs- und Konkurskammer des Kantonsgerichts als Aufsichtsbehörde gelangt werden (Art. 17 Abs. 1 SchKG; Art. 13 SchKG i.V.m. Art. 5 des Ausführungsgesetzes zur Bundesgesetzgebung über Schuldbetreibung und Konkurs vom 12. Februar 2015 [AGSchKG; SGF 28.1]). Die Beschwerde muss innert zehn Tagen ab dem Zeitpunkt, an dem der Beschwerdeführer von der Verfügung Kenntnis erhalten hat, erhoben werden (Art. 17 Abs. 2 SchKG). b) Die angefochtene Verfügung wurde am dem Beschwerdeführer nicht vor dem 27. Januar 2017 zugestellt. Mit Eingabe vom 6. Februar 2017 erhob der Beschwerdeführer Beschwerde. Diese erfolgte somit innert der 10-tägigen Frist gemäss Art. 17 Abs. 2 SchKG.</w:t>
      </w:r>
    </w:p>
    <w:p>
      <w:r>
        <w:rPr>
          <w:b/>
        </w:rPr>
        <w:t>E. 2</w:t>
      </w:r>
    </w:p>
    <w:p>
      <w:r>
        <w:t>a) Mit der Erhebung einer Beschwerde wird der Streitgegenstand grundsätzlich an die Aufsichtsbehörde übertragen. Der Devolutiveffekt wird jedoch im Beschwerdeverfahren im Interesse der Prozessökonomie modifiziert. Gemäss Art. 17 Abs. 4 SchKG kann das Betreibungsamt die angefochtene Verfügung bis zum Zeitpunkt der Abgabe seiner Vernehmlassung innert angesetzter und eventuell erstreckter Frist in Wiedererwägung ziehen. Der volle Devolutiveffekt tritt mit dem Eingang der Vernehmlassung bei der Aufsichtsbehörde ein (BGE 110 III 57 E. 2). Die Wiedererwägung kann zum Widerruf oder zu einer teilweisen Aufhebung oder Abänderung der früheren Verfügung führen. Diesfalls wird das Beschwerdeverfahren nur insofern gegenstandslos, als den Begehren des Beschwerdeführers entsprochen worden ist (COMETTA/MÖCKLI in Basler Kommentar Bundesgesetz über Schuldbetreibung und Konkurs I, 2. Aufl. 2010, Art. 17 N. 61-64; DIETH/WOHL in Kurzkommentar SchKG, HUNKELER [Hrsg.], 2. Aufl. 2014, Art. 17 N. 34-35; BGE 126 III 85 E. 3). Das Betreibungsamt hat seine Verfügung vom 25. Januar 2017 insofern in Wiedererwägung gezogen, als es die vom Beschwerdeführer monierten Unterhaltszahlungen im Existenzminimum berücksichtigte und die Lohnpfändung anpasste.</w:t>
      </w:r>
    </w:p>
    <w:p>
      <w:r>
        <w:t>Kantonsgericht KG Seite 3 von 3 b) Damit hat das Betreibungsamt den Argumenten des Beschwerdeführers entsprochen; das Beschwerdeverfahren ist folglich gegenstandslos.</w:t>
      </w:r>
    </w:p>
    <w:p>
      <w:r>
        <w:rPr>
          <w:b/>
        </w:rPr>
        <w:t>E. 3</w:t>
      </w:r>
    </w:p>
    <w:p>
      <w:r>
        <w:t>Kosten sind keine zu erheben (Art. 20a Abs. 2 Ziff. 5 SchKG). Die Kammer erkennt: I. Das Beschwerdeverfahren 105 2017 18 wird als gegenstandslos abgeschrieben.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7. März 2017/aur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