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2017 110 vom 10. Oktober 2017</w:t>
      </w:r>
    </w:p>
    <w:p>
      <w:r>
        <w:t>FR Kantonsgericht, 2017-10-10, FR</w:t>
      </w:r>
    </w:p>
    <w:p>
      <w:r>
        <w:rPr>
          <w:b/>
        </w:rPr>
        <w:t xml:space="preserve">Quelle: </w:t>
      </w:r>
      <w:r>
        <w:t>https://mcp.opencaselaw.ch/entscheid/fr_gerichte_105_2017_110</w:t>
      </w:r>
    </w:p>
    <w:p>
      <w:r>
        <w:t>FR: FR_GERICHTE 105 2017 110 du 10 octobre 2017</w:t>
      </w:r>
    </w:p>
    <w:p>
      <w:r>
        <w:t>IT: FR_GERICHTE 105 2017 110 del 10 ottobre 2017</w:t>
      </w:r>
    </w:p>
    <w:p>
      <w:pPr>
        <w:pStyle w:val="Heading2"/>
      </w:pPr>
      <w:r>
        <w:t>Regeste</w:t>
      </w:r>
    </w:p>
    <w:p>
      <w:r>
        <w:t>Arrêt de la Chambre des poursuites et faillites du Tribunal cantonal | Betreibung auf Pfändung (Art. 89-150 SchKG)</w:t>
      </w:r>
    </w:p>
    <w:p>
      <w:pPr>
        <w:pStyle w:val="Heading2"/>
      </w:pPr>
      <w:r>
        <w:t>Erwägungen</w:t>
      </w:r>
    </w:p>
    <w:p>
      <w:r>
        <w:rPr>
          <w:b/>
        </w:rPr>
        <w:t>E. 6</w:t>
      </w:r>
    </w:p>
    <w:p>
      <w:r>
        <w:t>septembre 2017. Il a également produit un certificat médical du Dr D.________ attestant de son instabilité psychique et justifiant la nécessité d’un avocat pour l’accompagner dans ses démarches juridiques. en droit 1. 1.1.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1.2. En l’espèce, la décision attaquée ayant été notifiée au plaignant le 24 août 2017, sa plainte déposée le 29 août 2017, l’a été en temps utile. Sommairement motivée et dotée de conclusions implicites, tendant à une diminution du montant saisi, la plainte est recevable en la forme.</w:t>
      </w:r>
    </w:p>
    <w:p>
      <w:r>
        <w:t>Tribunal cantonal TC Page 3 de 4 2. 2.1. Le plaignant conteste la saisie opérée par l’OP Veveyse, laquelle porterait, selon lui, atteinte à son minimum vital d’existence. 2.2. L'art. 93 al. 1 LP dispose que les revenus du travail, de même que les pensions et prestations de toutes sortes qui sont destinées à couvrir une perte de gain ou une prétention découlant du droit d’entretien peuvent être saisis, déduction faite de ce que le préposé estime indispensable au débiteur et à sa famille.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(cf. arrêt TF 5A_266/2014 du 11 juillet 2014, consid. 3).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doit demander à l'office des poursuites une révision de situation au sens de l'art. 93 al. 3 LP (cf. BSK SchKG I-VON DER MÜHLL, 2ème éd. 2010, art. 93 n. 17 et 21). De plus, si l'office doit certes établir d'office la situation financière, le débiteur est tenu de collaborer en apportant les éléments de fait importants et en fournissant les preuves à sa disposition (cf. BSK SCHKG I- VON DER MÜHLL, op. cit., art. 93 n. 16); le poursuivi doit ainsi établir qu'il paie effectivement les charges alléguées, en produisant des justificatifs de paiement (cf. ATF 121 III 20 consid. 3b; arrêt TF 5A_661/2013 du 15 janvier 2014, consid. 5.2). Les besoins futurs incertains ne doivent pas être pris en compte. En revanche, les charges que le débiteur devra assumer de façon certaine, notamment des frais médicaux, doivent être pris en considération (cf. CR LP-OCHSNER, 2005, art. 93 n. 81).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arrêt TF 5A_266/2014 du 11 juillet 2014 consid. 3). A cet effet, les autorités de poursuite fixent librement – en suivant les Lignes directrices pour le calcul du minimum d'existence en matière de poursuite de la Conférence des préposés aux poursuites et faillites de Suisse – la part des ressources du débiteur qu'elles estiment indispensable à son entretien et à celui de sa famille (cf. ATF 130 III 45 consid. 2; arrêt TF 5A_919/2012 du 11 février 2013 consid. 4.3.1). 3. Le plaignant fait valoir qu’il devra prochainement verser un montant indéterminé à un avocat. Cependant, aucun élément du dossier ne permet de rendre cette dépense vraisemblable. Le dépôt d’une nouvelle requête d’assistance judiciaire auprès de l’autorité pénale concernée affaiblit d’autant plus cette hypothèse. Au demeurant, le paiement ou remboursement des frais d’avocat ne pourrait être retenu puisque ne faisant pas partie des charges indispensables telles que définies par les lignes directrices du 1er juillet 2009 pour le calcul du minimum vital du droit des poursuites selon l’art. 93 LP (cf. arrêt TC 105 2017 30 du 7 avril 2017 consid. 4b.). En cas d’indigence, l’accès à la justice est garanti par le droit à l’assistance judiciaire et non par l’intégration des frais d’avocat dans le minimum vital d’existence. 4. Selon la jurisprudence, le juge doit mentionner, au moins brièvement, les motifs qui l'ont guidé et sur lesquels il a fondé sa décision, de manière à ce que l'intéressé puisse se rendre</w:t>
      </w:r>
    </w:p>
    <w:p>
      <w:r>
        <w:t>Tribunal cantonal TC Page 4 de 4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(cf. ATF 143 III 65 consid. 5.2). La question de la violation de l’art. 93 LP étant seule décisive pour la résolution du litige, il n’y a pas lieu d’analyser les griefs du plaignant tirés de la violation des art. 127 al. 1 et 5, 130 let. a à c et 132 CPP ainsi que des art. 29, 32 al. 2 et 35 al. 2 Cst. 5. Il n'est pas perçu de frais, ni alloué de dépens (art. 20a al. 2 ch. 5 LP; art. 61 al. 2 let. a et 62 al. 2 de l'ordonnance du 23 septembre 1996 sur les émoluments perçus en application de la loi fédérale sur la poursuite pour dettes et la faillite [OELP; RS 281.35]). la Chambre arrête: I. La plainte est rejetée. Partant, la décision de l’Office des poursuites de la Veveyse du 18 août 2017 est confirmée. II. Il n’est pas perçu de frais ni alloué de dépens.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octobre 2017/dke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