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77 vom 17. November 2016</w:t>
      </w:r>
    </w:p>
    <w:p>
      <w:r>
        <w:t>FR Kantonsgericht, 2016-11-17, DE</w:t>
      </w:r>
    </w:p>
    <w:p>
      <w:r>
        <w:rPr>
          <w:b/>
        </w:rPr>
        <w:t xml:space="preserve">Quelle: </w:t>
      </w:r>
      <w:r>
        <w:t>https://mcp.opencaselaw.ch/entscheid/fr_gerichte_105_2016_77</w:t>
      </w:r>
    </w:p>
    <w:p>
      <w:r>
        <w:t>FR: FR_GERICHTE 105 2016 77 du 17 novembre 2016</w:t>
      </w:r>
    </w:p>
    <w:p>
      <w:r>
        <w:t>IT: FR_GERICHTE 105 2016 77 del 17 novembre 2016</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Toutefois, la plainte est recevable en tout temps lorsque la mesure attaquée est nulle, notamment lorsqu'elle porte une atteinte flagrante au minimum vital du débiteur et de sa famille et les place dans une situation intolérable (cf. ATF 114 III 78 consid. 3 ; BSK SchKG I – VONDER MÜHLL, 2ème éd. 2010, art. 93 n. 66). Or, dans le cas particulier, c'est ce que soutient implicitement le plaignant lorsqu'il fait valoir que les mensualités de leasing n'ont pas été prises en compte dans la détermination du minimum vital. Il y a dès lors lieu d'entrer en matière.</w:t>
      </w:r>
    </w:p>
    <w:p>
      <w:r>
        <w:rPr>
          <w:b/>
        </w:rPr>
        <w:t>E. 2</w:t>
      </w:r>
    </w:p>
    <w:p>
      <w:r>
        <w:t>a) En vertu de l'art. 93 LP, tous les revenus du travail, de même que les prestations de toutes sortes qui sont destinées à couvrir une perte de gain ou une prétention découlant du droit d'entretien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menaces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Tribunal cantonal TC Page 3 de 4 famille (cf. ATF 130 III 45 consid. 2; arrêt TF 5A_919/2012 du 11 février 2013 consid. 4.3.1). Ce montant de base comprend les frais pour l'alimentation, les vêtements et le linge y compris leur entretien, les soins corporels et de santé, l'entretien du logement, les frais culturels ainsi que les dépenses pour l'éclairage, le courant électrique ou le gaz pour la cuisine. Le minimum vital doit être fixé en fonction des circonstances de fait existant lors de l'exécution de la saisie. Si des changements interviennent en cours de saisie, le débiteur doit demander une révision de situation au sens de l'art. 93 al. 3 LP à l'office des poursuites (VONDER MÜHLL, op. cit. art. 93 n. 17 et 21). De plus, si l'office doit certes établir d'office la situation financière, le débiteur est tenu de collaborer en apportant les éléments de fait importants et en fournissant les preuves à sa disposition (VONDER MÜHLL, op. cit., art. 93 n. 16); le poursuivi doit ainsi établir qu'il paie effectivement les charges alléguées, en produisant des justificatifs de paiement (OCHSNER, in Commentaire romand Poursuite et faillite, 2005, art. 93 n. 82). b) Le plaignant prétend qu’il a besoin de sa voiture pour qu’il puisse se déplacer dans des conditions convenables compte tenu du fait qu’il est atteint dans sa santé suite à deux lourdes opérations du dos et qu’il doit subir prochainement une opération du genou. Il demande implicitement de prendre en considération, dans son minimum vital au sens de l’art. 93 LP, les mensualités de leasing de CHF 374.70. Selon les Lignes directrices citées ci-dessus, les frais de déplacement entre le domicile et le lieu de travail font en principe partie du minimum vital s’ils sont indispensables à l’exercice d’une profession et si l’employeur ne les prend pas à sa charge. Peuvent également faire partie du minimum vital, à certaines conditions, les versements que le débiteur s'est engagé à effectuer soit à titre d'acomptes sur le prix des meubles insaisissables qu'il a achetés à tempérament et dont le vendeur s'est réservé la propriété jusqu'à complet paiement, soit à titre de loyer des biens de même nature qui lui ont été loués (arrêt TF 5A_266/2014 du 11 juillet 2014 consid. 7.2) ; pour cela, le débiteur doit notamment prouver qu'il s'agit d'un objet indispensable et qu'il paie régulièrement les acomptes, sur la base d'un contrat valable (COLLAUD, Le minimum vital selon l'article 93 LP in RFJ 2011 299, n° 7.2 p. 322). c) Il n'est pas contesté que le poursuivi est actuellement au chômage; il n'y a donc en principe pas lieu de considérer que ses frais de véhicule font partie de son minimum vital au sens de l'art. 93 LP. De plus, le contrat de leasing, qui n’a été produit qu’à la demande de la Présidente au stade de la procédure de plainte, est au nom de MJC Sàrl, qui était le précédent employeur du plaignant et qui n’a actuellement plus d’activité et le plaignant n’a produit aucun justificatif de paiement. Quoi qu’il en soit, les frais de leasing d’une voiture utilisée uniquement à titre récréatif et de convenance personnelle ne peuvent pas être pris en compte. Il s'ensuit le rejet de la plainte et la confirmation de la décision attaquée.</w:t>
      </w:r>
    </w:p>
    <w:p>
      <w:r>
        <w:rPr>
          <w:b/>
        </w:rPr>
        <w:t>E. 3</w:t>
      </w:r>
    </w:p>
    <w:p>
      <w:r>
        <w:t>Il n'est pas perçu de frais, ni alloué de dépens (art. 20a al. 2 ch. 5 LP, 61 al. 2 let. a et 62 al. 2 OELP). Tribunal cantonal TC Page 4 de 4 la Chambre arrête: I. La plainte est rejetée. Partant, la décision de saisie de salaire et la détermination du minimum d’existence de A.________ du 4 août 2016 sont confirmés.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novembre 2016/cov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