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76 vom 20. September 2016</w:t>
      </w:r>
    </w:p>
    <w:p>
      <w:r>
        <w:t>FR Kantonsgericht, 2016-09-20, FR</w:t>
      </w:r>
    </w:p>
    <w:p>
      <w:r>
        <w:rPr>
          <w:b/>
        </w:rPr>
        <w:t xml:space="preserve">Quelle: </w:t>
      </w:r>
      <w:r>
        <w:t>https://mcp.opencaselaw.ch/entscheid/fr_gerichte_105_2016_76</w:t>
      </w:r>
    </w:p>
    <w:p>
      <w:r>
        <w:t>FR: FR_GERICHTE 105 2016 76 du 20 septembre 2016</w:t>
      </w:r>
    </w:p>
    <w:p>
      <w:r>
        <w:t>IT: FR_GERICHTE 105 2016 76 del 20 settembre 2016</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Selon la jurisprudence, si malgré le vice qui affecte sa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(cf. ATF 128 III 101 consid. 2). b) En l'espèce, le plaignant a déposé sa plainte le 1er septembre 2016. L’opération de saisie durant laquelle est intervenue la notification litigieuse s’est déroulée le 23 août 2016. Partant, la plainte du 1er septembre 2016 a été déposée en temps utile. La plainte est motivée succinctement et contient des conclusions. Partant, elle est recevable.</w:t>
      </w:r>
    </w:p>
    <w:p>
      <w:r>
        <w:rPr>
          <w:b/>
        </w:rPr>
        <w:t>E. 2</w:t>
      </w:r>
    </w:p>
    <w:p>
      <w:r>
        <w:t>a) La notification des actes de poursuite, spécialement des commandements de payer, revêt une signification particulière, contrairement à de simples communications de l'Office au sens de l'art. 34 LP. Le commandement de payer est en effet établi sur la simple allégation d'une créance en faveur du poursuivant. La possibilité de former opposition, immédiatement et sans motivation, donne dès lors aux modalités de la notification une importance toute particulière. La formule 3b (Commandement de payer) prévoit d'ailleurs expressément la notification personnelle,</w:t>
      </w:r>
    </w:p>
    <w:p>
      <w:r>
        <w:t>Tribunal cantonal TC Page 3 de 4 laquelle doit être attestée par le fonctionnaire ou le facteur. Il y est en outre rappelé que la notification ne peut être opérée ni par lettre ordinaire ni par lettre recommandée (cf. ATF 116 III 8 consid. 1 a). Lorsque le commandement de payer ne peut pas être remis en mains du débiteur, l’acte peut être remis à une personne adulte de son ménage ou à un employé (art. 64 al. 2 LP). Il s’agit par exemple d’un locataire ou d’un pensionnaire (cf. ATF 117 III 5 consid. 1). Si aucune de ces personnes ne peut être atteinte, l’acte est remis à un fonctionnaire communal ou à un agent de la police, à charge de le notifier au débiteur (art. 64 al. 3 LP). Si,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(cf. ATF 110 III 9 consid. 2). Lorsque la notification est viciée car elle a été effectuée auprès d’une personne qui était incompétente pour le recevoir, mais que le poursuivi a eu connaissance du commandement de payer et de son contenu par la remise à la mauvaise personne, l’exigence d’une nouvelle notification, qui ne donnerait aucun renseignement complémentaire au poursuivi, aboutirait à un formalisme excessif. L’intérêt du poursuivi à une nouvelle notification est d’autant moins important s’il a déjà formé valablement opposition au commandement de payer (cf. ATF 112 III 84 / JdT 1989 II 5 consid. 2). Ainsi,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(cf. ATF 132 I 249 consid. 6). b) En l’espèce, les cinq commandements de payer ont été notifiés à B.________. Or, cette dernière n’était pas compétente pour recevoir les commandements de payer. En effet, d’une part, une notification au sens de l’art. 64 al. 1 LP n’était pas possible, B.________ n’étant ni une employée du plaignant, ni une personne adulte de son ménage. D’autre part, elle était chargée de représenter son fils en ce qui concernait l’opération de saisie effectuée à son domicile. Aucun pouvoir ne lui avait été donné quand à la notification de commandements de payer. La plainte est dès lors fondée sur ce point. Cependant, A.________ a eu connaissance des actes, puisqu’il a été en mesure d’y former valablement opposition, dans le délai de 10 jours prescrit par la loi (art. 74 LP). Le poursuivi n’avait donc aucun intérêt juridiquement pertinent à porter plainte pour constater que l’acte avait été remis à une personne qui n’avait pas qualité pour le recevoir, puisqu’il a finalement reçu les cinq commandements de payer et a été en mesure d’exercer ses droits, soit d’y faire opposition. Partant, la plainte est rejetée.</w:t>
      </w:r>
    </w:p>
    <w:p>
      <w:r>
        <w:rPr>
          <w:b/>
        </w:rPr>
        <w:t>E. 3</w:t>
      </w:r>
    </w:p>
    <w:p>
      <w:r>
        <w:t>Il n'est pas perçu de frais, ni alloué de dépens (art. 20a al. 2 ch. 5 LP, 61 al. 2 let. a et 62 al. 2 de l’Ordonnance sur les émoluments perçus en application de la loi sur la poursuite pour dettes et la faillite [OELP, RS 281.35]).</w:t>
      </w:r>
    </w:p>
    <w:p>
      <w:r>
        <w:t>Tribunal cantonal TC Page 4 de 4 la Chambre arrête: I. La plainte est rejetée. Partant, la notification des commandements de payer numéros ccc, ddd, eee, fff et ggg a été effectuée le 23 août 2016.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2016/mpr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