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4 vom 7. März 2016</w:t>
      </w:r>
    </w:p>
    <w:p>
      <w:r>
        <w:t>FR Kantonsgericht, 2016-03-07, FR</w:t>
      </w:r>
    </w:p>
    <w:p>
      <w:r>
        <w:rPr>
          <w:b/>
        </w:rPr>
        <w:t xml:space="preserve">Quelle: </w:t>
      </w:r>
      <w:r>
        <w:t>https://mcp.opencaselaw.ch/entscheid/fr_gerichte_105_2016_4</w:t>
      </w:r>
    </w:p>
    <w:p>
      <w:r>
        <w:t>FR: FR_GERICHTE 105 2016 4 du 7 mars 2016</w:t>
      </w:r>
    </w:p>
    <w:p>
      <w:r>
        <w:t>IT: FR_GERICHTE 105 2016 4 del 7 marzo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 CR LP – ERARD, 2005, art. 17 n. 10 et 15). b) En l'espèce, par sa décision du 12 janvier 2016, l'autorité intimée a confirmé sa décision de saisie du 2 décembre 2015, par laquelle elle prenait déjà en compte l'allocation pour impotent litigieuse et écartait déjà les frais de véhicule. Quant bien même, dans la décision attaquée, elle a revu certains postes de charges suite à la production de pièces complémentaires, la voie de la plainte ne serait normalement pas ouverte, cette décision n'ayant fait que confirmer la saisie ordonnée antérieurement.</w:t>
      </w:r>
    </w:p>
    <w:p>
      <w:r>
        <w:t>Tribunal cantonal TC Page 3 de 5 Toutefois, la plainte est recevable en tout temps lorsque la mesure attaquée est nulle, notamment lorsqu'elle porte une atteinte flagrante au minimum vital du débiteur et de sa famille et les place dans une situation intolérable (art. 22 LP ; cf. ATF 114 III 78 consid. 3 ; BSK SchKG I – VONDER MÜHLL, 2ème éd. 2010, art. 93 n. 66). Or dans le cas particulier, c'est ce que soutient implicitement A.________, puisque si l'on fait abstraction de l'allocation pour impotent, la quotité saisissable se monterait à CHF 165.80 (CHF 635.80 – CHF 470.-), soit un montant inférieur à la saisie. Il y a dès lors lieu d'entrer en matière.</w:t>
      </w:r>
    </w:p>
    <w:p>
      <w:r>
        <w:rPr>
          <w:b/>
        </w:rPr>
        <w:t>E. 2</w:t>
      </w:r>
    </w:p>
    <w:p>
      <w:r>
        <w:t>a) 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art. 93 n. 17 et 21). b) En l'espèce, l'OP Sarine a pris en compte, à titre de revenus, un total mensuel de CHF 5'867.50, comprenant l'ensemble des rentes de l'assurance-invalidité et accidents perçues par le poursuivi, ainsi qu'une allocation pour impotent de CHF 470.- par mois. A.________ le lui reproche, faisant valoir que cette allocation n'est pas un revenu dès lors qu'elle n'est pas déclarée fiscalement. Aux termes de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 cependant, lorsque le débiteur dispose d'autres ressources que ces rentes, prestations et allocations, ces dernières doivent être prises en compte dans le calcul du minimum vital, ce qui permet d'augmenter la part saisissable du revenu : en effet, le poursuivi peut alors subvenir à une partie de son entretien au moyen de la rente insaisissable, si bien que pour couvrir la part restante du minimum vital il n'a plus besoin de tout son revenu autre, qui peut être saisi (ATF 135 III 20 consid. 4.1 et 5.1). Selon la jurisprudence, les allocations pour impotents, bien que non mentionnées dans la loi, sont insaisissables au même titre que les rentes et prestations indiquées à l'art. 92 al. 1 ch. 9a LP (ATF 130 III 400 consid. 3.3.4 et 135 III 20 consid. 4.1). Toutefois, au contraire des rentes d'invalidité, ces allocations ne visent pas à remplacer la perte de gain en raison d'une atteinte à la santé, mais sont liées au besoin durable de l'aide d'autrui ou d'une surveillance personnelle de l'assuré pour accomplir des actes élémentaires de la vie quotidienne (ATF 139 I 155 consid. 4.3). A ce titre, elles visent à compenser, de manière forfaitaire, des frais supplémentaires occasionnés par un handicap, pour lesquels elles sont versées spécifiquement, et ne constituent pas un revenu de remplacement ; elles se rapprochent donc de prestations allouées pour atteinte à la santé au sens de l'art. 92 al. 1 ch. 9 LP, qui par leur caractère de dommages- intérêts sont absolument insaisissables, et ne doivent pas être prises en compte parmi les ressources d'un plaideur qui requiert l'assistance judiciaire (arrêts TF I 615/06 du 23 juillet 2007 consid. 5.3 et 5.4 et 8C_309/2011 du 31 mai 2011 consid. 3.3.3). Au vu de ce qui précède, il faut admettre que l'allocation pour impotent ne doit pas être considérée comme un revenu au sens de l'art. 93 LP, dès lors qu'elle n'est pas destinée à financer l'entretien</w:t>
      </w:r>
    </w:p>
    <w:p>
      <w:r>
        <w:t>Tribunal cantonal TC Page 4 de 5 courant du bénéficiaire, mais les frais supplémentaires liés à son handicap. Partant, c'est de manière contraire au droit que l'OP Sarine en a tenu compte parmi les ressources du plaignant. Cependant, il faut relever d'office que les rentes complémentaires d'invalidité perçues par ce dernier pour ses enfants, par CHF 1'700.-, n'ont été incluses dans ses revenus qu'à hauteur de CHF 566.65, alors que les frais occasionnés par les deux enfants ont été retenus à hauteur de CHF 1'280.- (CHF 1'200.- + CHF 80.-). Or, cette manière de procéder est contraire à l'art. 35 al. 4 LAI, selon lequel, à défaut d'une décision contraire du juge civil, la rente pour enfant est versée comme la rente à laquelle elle se rapporte ; il s'agit là d'une prétention accessoire du rentier, et non d'un droit propre de l'enfant (cf. MEYER, Rechtsprechung des Bundesgerichts zum IVG, 2ème éd. 2010, p. 410). En conséquence, l'OP Sarine aurait dû prendre en compte l'entier de ces rentes complémentaires, versées au poursuivi pour ses enfants (arrêt TC FR 105 2014 138 du 24 décembre 2014 consid. 2b) dont le coût – montant de base, part au logement, prime de caisse- maladie et frais d'écolage – doit être parallèlement retenu. Il en résulte que les revenus totaux du plaignant se montent en réalité à 7'097.50 (CHF 5'867.50 + CHF 1'700.- [rentes pour enfants] – CHF 470.- [allocation pour impotent]). c) Concernant les charges de A.________, l'autorité intimée les a fixées à CHF 5'231.70 par mois, montant auquel il convient d'ajouter la déduction de CHF 566.65 opérée à tort par l'OP Sarine à titre de "contribution enfant mineur" (supra, ch. 2b) et les primes de caisse-maladie des enfants oubliées dans le calcul, par CHF 134.60 (2 x CHF 67.80). Elle n'a par ailleurs pas tenu compte des frais de voiture, ce que le plaignant lui reproche en faisant valoir qu'il est une personne à mobilité réduite disposant d'un macaron handicapé. A teneur des Lignes directrices du 1er juillet 2009 pour le calcul du minimum vital du droit des poursuites selon l'art. 93 LP, les frais de déplacement entre le domicile et le lieu de travail font en principe partie du minimum vital, s'ils sont indispensables à l'exercice d'une profession et si l'employeur ne les prend pas à sa charge. Peuvent également faire partie du minimum vital, à certaines conditions,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 pour cela, le débiteur doit notamment prouver qu'il s'agit d'un objet indispensable et qu'il paie régulièrement les acomptes, sur la base d'un contrat valable (arrêt TF 5A_266/2014 du 11 juillet 2014 consid. 7.2). En l'espèce, le plaignant bénéficie de rentes d'assurances sociales et n'indique pas exercer d'activité lucrative. De plus, il habite à B.________, commune bien desservie par les transports publics. En outre, Il n'a pas fourni de détails sur la nature de son handicap, bien qu'il y ait été invité, et s'est contenté d'affirmer qu'en raison de menaces récurrentes de mort, sa famille et lui- même ont besoin 24 heures sur 24 d'un moyen de transport autonome (supra, let. B). En l'absence de données fiables quant à la nécessité impérative de posséder un véhicule, la Chambre ne saurait dès lors retenir les frais relatifs à celui-ci parmi les charges indispensables du poursuivi. Ce grief n'est pas fondé. d) Après prise en compte des charges du plaignant, celui-ci dispose d'une quotité saisissable de CHF 1'164.55 (CHF 7'097.50 – CHF 5'231.70 – CHF 566.65 – CHF 134.60). Partant, la saisie de CHF 350.- par mois prononcée n'entame pas son minimum vital, quand bien même l'OP Sarine aurait dû faire abstraction de l'allocation pour impotent. Il s'ensuit le rejet de la plainte et la confirmation de la décision attaquée, par substitution de motifs.</w:t>
      </w:r>
    </w:p>
    <w:p>
      <w:r>
        <w:t>Tribunal cantonal TC Page 5 de 5</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la décision de saisie prise par l'Office des poursuites de la Sarine le 12 janvier 2016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2016/lfa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