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39 vom 28. Juni 2016</w:t>
      </w:r>
    </w:p>
    <w:p>
      <w:r>
        <w:t>FR Kantonsgericht, 2016-06-28, FR</w:t>
      </w:r>
    </w:p>
    <w:p>
      <w:r>
        <w:rPr>
          <w:b/>
        </w:rPr>
        <w:t xml:space="preserve">Quelle: </w:t>
      </w:r>
      <w:r>
        <w:t>https://mcp.opencaselaw.ch/entscheid/fr_gerichte_105_2016_39</w:t>
      </w:r>
    </w:p>
    <w:p>
      <w:r>
        <w:t>FR: FR_GERICHTE 105 2016 39 du 28 juin 2016</w:t>
      </w:r>
    </w:p>
    <w:p>
      <w:r>
        <w:t>IT: FR_GERICHTE 105 2016 39 del 28 giugno 2016</w:t>
      </w:r>
    </w:p>
    <w:p>
      <w:pPr>
        <w:pStyle w:val="Heading2"/>
      </w:pPr>
      <w:r>
        <w:t>Regeste</w:t>
      </w:r>
    </w:p>
    <w:p>
      <w:r>
        <w:t>Arrêt de la Chambre des poursuites et faillites du Tribunal cantonal | Schuldbetreibung (Art. 38-88 SchKG)</w:t>
      </w:r>
    </w:p>
    <w:p>
      <w:pPr>
        <w:pStyle w:val="Heading2"/>
      </w:pPr>
      <w:r>
        <w:t>Erwägungen</w:t>
      </w:r>
    </w:p>
    <w:p>
      <w:r>
        <w:rPr>
          <w:b/>
        </w:rPr>
        <w:t>E. 18</w:t>
      </w:r>
    </w:p>
    <w:p>
      <w:r>
        <w:t>juin 2016 est irrecevable, dans la mesure où elle n'est pas devenue sans objet, et la plainte du 26 juin 2016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juin 2016/lfa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