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20 vom 12. April 2016</w:t>
      </w:r>
    </w:p>
    <w:p>
      <w:r>
        <w:t>FR Kantonsgericht, 2016-04-12, FR</w:t>
      </w:r>
    </w:p>
    <w:p>
      <w:r>
        <w:rPr>
          <w:b/>
        </w:rPr>
        <w:t xml:space="preserve">Quelle: </w:t>
      </w:r>
      <w:r>
        <w:t>https://mcp.opencaselaw.ch/entscheid/fr_gerichte_105_2016_20</w:t>
      </w:r>
    </w:p>
    <w:p>
      <w:r>
        <w:t>FR: FR_GERICHTE 105 2016 20 du 12 avril 2016</w:t>
      </w:r>
    </w:p>
    <w:p>
      <w:r>
        <w:t>IT: FR_GERICHTE 105 2016 20 del 12 aprile 2016</w:t>
      </w:r>
    </w:p>
    <w:p>
      <w:pPr>
        <w:pStyle w:val="Heading2"/>
      </w:pPr>
      <w:r>
        <w:t>Regeste</w:t>
      </w:r>
    </w:p>
    <w:p>
      <w:r>
        <w:t>Arrêt de la Chambre des poursuites et faillites du Tribunal cantonal | Arrest (Art. 271-281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b) En l’espèce, à défaut d’indication contraire figurant au dossier, il y a lieu d’admettre que la plainte a été déposée en temps utile (cf. art. 9 al. 2 LALP en lien avec l’art. 28 al. 2 CPJA). Pour le surplus, c’est le lieu de rappeler que, pour autant qu’une mesure soit susceptible de porter atteinte au minimum vital du débiteur, celui-ci peut s’en plaindre en tout temps (ATF 97 III 7 consid. 2, JdT 1973 II p. 20 ss, 22). Dans le cas présent, dès lors que le plaignant soutient notamment que la mesure entreprise porte atteinte aux « normes d’insaisissabilité », il y a lieu d’admettre que sa plainte est recevable sous cet angle. c) Compte tenu de l’issue de la plainte, la requête d’effet suspensif devient sans objet.</w:t>
      </w:r>
    </w:p>
    <w:p>
      <w:r>
        <w:rPr>
          <w:b/>
        </w:rPr>
        <w:t>E. 2</w:t>
      </w:r>
    </w:p>
    <w:p>
      <w:r>
        <w:t>Le plaignant invoque divers moyens de droit matériel (inexistence de la créance, défaut de légitimation de la créancière séquestrante et prescription) et une violation de l’art. 93 al. 1 LP – implicitement tout du moins –, soulignant à cet égard qu’il fait déjà l’objet d’une saisie de revenus. a) Selon la jurisprudence,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Les griefs concernant les conditions de fond du séquestre doivent donc être soulevés dans la procédure d'opposition et ceux concernant l'exécution du séquestre dans la procédure de plainte (ATF 129 III 203 consid. 2.2 et 2.3 et les références citées; arrêt TF 5A_496/2015 du 23 février 2016 consid. 2.1 et jurisprudence citée). Plus singulièrement,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séquestre nul (ATF 136 III 379 consid. 3.1; arrêts TF 5A_496/2015 du 23 février 2016 consid. 2.1 et jurisprudence et doctrine citées) b) En l’espèce, compte tenu de la jurisprudence rappelée plus haut, les griefs de droit matériel formulés par le plaignant (inexistence de la créance, défaut de légitimation de la créancière séquestrante et prescription) auraient dû être soulevés par la voie de l’opposition (art.</w:t>
      </w:r>
    </w:p>
    <w:p>
      <w:r>
        <w:t>Tribunal cantonal TC Page 4 de 6 278 LP) et non pas de la plainte, de sorte qu’ils doivent être déclarés irrecevables et la Chambre n’a pas à en connaître. Reste à savoir si la mesure entreprise viole effectivement les normes sur la saisissabilité des biens (art. 92 ss LP), comme le prétend le plaignant (cf. infra consid. 3).</w:t>
      </w:r>
    </w:p>
    <w:p>
      <w:r>
        <w:rPr>
          <w:b/>
        </w:rPr>
        <w:t>E. 3</w:t>
      </w:r>
    </w:p>
    <w:p>
      <w:r>
        <w:t>a) En vertu de l'art. 93 LP, tous les revenus du travail, de même que les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 Les Lignes directrices susmentionnées, du 1er juillet 2009, fixent en leur chiffre I le montant de base mensuelle pour "un couple marié, deux personnes vivant en partenariat enregistré ou un couple avec des enfants" à CHF 1700.-. Selon ces lignes directrices, la base mensuelle définie pour les conjoints doit également être appliquée aux partenaires sans enfant commun vivant en communauté de vie réduisant les coûts et peut, en règle générale, être réduite (au maximum) de moitié; cela est conforme à la jurisprudence du Tribunal fédéral (cf. ATF 130 III 765 consid. 2.3). Ce montant de base comprend les frais pour l'alimentation, les vêtements et le linge y compris leur entretien, les soins corporels et de santé, l'entretien du logement, les frais culturels ainsi que les dépenses pour l'éclairage, le courant électrique ou le gaz pour la cuisine. Le minimum vital doit être fixé en fonction des circonstances de fait existant lors de l'exécution de la saisie. Si des changements interviennent en cours de saisie, le débiteur doit demander une révision de situation au sens de l'art. 93 al. 3 LP à l'office des poursuites (VONDER MÜHLL, Basler Kommentar, Bundesgesetz über Schuldbetreibung und Konkurs, I, 2ème éd. 2010, art. 93 n. 17 et 21). De plus, si l'office doit certes établir d'office la situation financière, le débiteur est tenu de collaborer en apportant les éléments de fait importants et en fournissant les preuves à sa disposition (VONDER MÜHLL, op. cit., art. 93 n. 16); le poursuivi doit ainsi établir qu'il paie effectivement les charges alléguées, en produisant des justificatifs de paiement (OCHSNER, in Commentaire romand, Poursuite et faillite, 2005, art. 93 n. 82). b) En l’espèce, en admettant que le débiteur entendait se plaindre d’une violation de l’art. 92 LP – ce qui n’est pas clair –, sa plainte est manifestement mal fondée, dès lors que, comme l’a fait observer à juste titre l’autorité intimée dans sa détermination du 24 mars 2016, le bien saisi dans le cas d’espèce n’est pas un revenu, mais une créance. Or, pour mémoire, une créance est saisissable au premier chef, en vertu de l’art. 95 al. 1 LP, selon la procédure de l’art. 99 LP, sous déduction de ce que le préposé estime indispensable au débiteur et à sa famille (art. 92 LP ; arrêt TF 5A_899/2010 du 6 mai 2011).</w:t>
      </w:r>
    </w:p>
    <w:p>
      <w:r>
        <w:t>Tribunal cantonal TC Page 5 de 6 b) Pour le surplus, la Chambre constate que la saisie de la créance litigieuse, mettant sous le poids du séquestre une créance de CHF 295.72, ne viole pas l’art. 93 LP, contrairement à ce qu’affirme le débiteur. En effet, compte tenu de ses revenus, à savoir CHF 4'486.- par mois (CHF 1'786.- de rente AI + CHF 2'700.- de rente complémentaire versée par la SUVA), et de ses charges, soit CHF 3’190.- au (CHF 1’700.- de montant de base mensuel pour le couple + CHF 960.- de loyer + CHF 150.- pour les frais de parking + CHF 380.- de saisie sur ses revenus), force est de constater qu’une saisie ponctuelle de CHF 295.72 ne porte pas atteinte au minimum vital du plaignant et ne l'empêche pas de pourvoir à son entretien et à celui de sa famille, puisque son budget mensuel laisse apparaître un disponible de CHF 1'296.- (4'486 – 3190). Il s’ensuit le rejet de la plainte sous cet angle, ce qui scelle le sort de la plainte dans son ensemble.</w:t>
      </w:r>
    </w:p>
    <w:p>
      <w:r>
        <w:rPr>
          <w:b/>
        </w:rPr>
        <w:t>E. 4</w:t>
      </w:r>
    </w:p>
    <w:p>
      <w:r>
        <w:t>Il n'est pas perçu de frais, ni alloué de dépens en l’espèce (art. 20a al. 2 ch. 5 LP, 61 al. 2 let. a et 62 al. 2 OELP). (dispositif en page suivante)</w:t>
      </w:r>
    </w:p>
    <w:p>
      <w:r>
        <w:t>Tribunal cantonal TC Page 6 de 6 la Chambre arrête: I. La plainte est rejetée, dans la mesure où elle est recevable. II. La requête d’effet suspensif est sans objet. III. Il n’est pas perçu de frais, ni alloué de dépens. IV.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avril 2016/lda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