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141 vom 22. Februar 2016</w:t>
      </w:r>
    </w:p>
    <w:p>
      <w:r>
        <w:t>FR Kantonsgericht, 2016-02-22, DE</w:t>
      </w:r>
    </w:p>
    <w:p>
      <w:r>
        <w:rPr>
          <w:b/>
        </w:rPr>
        <w:t xml:space="preserve">Quelle: </w:t>
      </w:r>
      <w:r>
        <w:t>https://mcp.opencaselaw.ch/entscheid/fr_gerichte_105_2015_141</w:t>
      </w:r>
    </w:p>
    <w:p>
      <w:r>
        <w:t>FR: FR_GERICHTE 105 2015 141 du 22 février 2016</w:t>
      </w:r>
    </w:p>
    <w:p>
      <w:r>
        <w:t>IT: FR_GERICHTE 105 2015 141 del 22 febbraio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13 EGSchKG). Die Beschwerde muss innert zehn Tagen ab dem Zeitpunkt, an dem der Beschwerdeführer von der Verfügung Kenntnis erhalten hat, erhoben werden (Art. 17 Abs. 2 SchKG). b) Die angefochtene Verfügung wurde am 2. November 2015 mit A-Post versandt. Mit Eingabe vom 5. November 2015 erhob der Beschwerdeführer Beschwerde. Diese erfolgte somit innert der 10-tägigen Frist gemäss Art. 17 Abs. 2 SchKG.</w:t>
      </w:r>
    </w:p>
    <w:p>
      <w:r>
        <w:rPr>
          <w:b/>
        </w:rPr>
        <w:t>E. 2</w:t>
      </w:r>
    </w:p>
    <w:p>
      <w:r>
        <w:t>a) Mit der Erhebung einer Beschwerde wird der Streitgegenstand grundsätzlich an die Aufsichtsbehörde übertragen. Der Devolutiveffekt wird jedoch im Beschwerdeverfahren im Interesse der Prozessökonomie modifiziert. Gemäss Art. 17 Abs. 4 SchKG kann das</w:t>
      </w:r>
    </w:p>
    <w:p>
      <w:r>
        <w:t>Kantonsgericht KG Seite 3 von 4 Betreibungsamt die angefochtene Verfügung bis zum Zeitpunkt der Abgabe seiner Vernehmlassung innert angesetzter eventuell erstreckter Frist in Wiedererwägung ziehen. Der volle Devolutiveffekt tritt mit dem Eingang der Vernehmlassung bei der Aufsichtsbehörde ein (BGE 110 III 57 E. 2). Die Wiedererwägung kann zum Widerruf oder zu einer teilweisen Aufhebung oder Abänderung der früheren Verfügung führen. Diesfalls wird das Beschwerdeverfahren nur insofern gegenstandslos, als den Begehren des Beschwerdeführers entsprochen worden ist (BSK-SchKG I- COMETTA/MÖCKLI, Art. 17 N 61-64; KUKO SchKG-DIETH, Art. 17 N 34-35; BGE 126 III 85 E. 3). Das Betreibungsamt hat seine Verfügung vom 2. November 2016 insofern in Wiedererwägung gezogen, als es die Rechnung für die vier Betreibungsbegehren in zwei Punkten abgeändert hat und den Einwänden des Schuldners somit teilweise Rechnung getragen hat. Ausserdem hat es die Zusammensetzung der für die vier Betreibungsbegehren erhobenen Kosten detailliert erläutert. b) Soweit das Betreibungsamt den Argumenten des Beschwerdeführers entsprochen hat, ist Beschwerdeverfahren gegenstandslos. c) Wie die ursprüngliche Verfügung unterliegt auch die abgeänderte Verfügung des Betreibungsamts der Beschwerde an die kantonale Aufsichtsbehörde. Bei der Beschwerdefrist als gesetzliche Frist handelt es sich um eine Verwirkungsfrist, d.h. sie kann grundsätzlich nicht erstreckt werden. Als Prozessvoraussetzung ist ihre Einhaltung von Amtes wegen zu prüfen, auf eine verspätete Beschwerde tritt die Aufsichtsbehörde nicht ein (BSK-SchKG I, a.a.O., Art. 17 N 50-52). Am 1. Dezember 2015 wurde dem Schuldner eine Kopie der Stellungnahme des Betreibungsamts vom 30. November 2015 zugestellt und am 3. Dezember 2015 wurde er vom Instruktionsrichter der Schuldbetreibungs- und Konkurskammer des Kantonsgerichts aufgefordert, ihm bis zum 15. Dezember 2015 mitzuteilen, ob er die Beschwerde trotz der durch das Betreibungsamt am 26. August 2013 vorgenommenen Rechnungskorrektur und der detaillierten Erklärung des Amts zur Kostenzusammensetzung aufrechterhalte. Innert der ihm angesetzten Frist liess sich der Beschwerdeführer nicht vernehmen. Die neue Verfügung des Betreibungsamtes wurde demnach nicht angefochten und die Weiterführung des Verfahrens nicht verlangt. Gegen die neue Verfügung des Betreibungsamtes wurde keine Beschwerde erhoben; davon ist Kenntnis zu nehmen und das Verfahren als erledigt abzuschreiben.</w:t>
      </w:r>
    </w:p>
    <w:p>
      <w:r>
        <w:rPr>
          <w:b/>
        </w:rPr>
        <w:t>E. 3</w:t>
      </w:r>
    </w:p>
    <w:p>
      <w:r>
        <w:t>Kosten sind keine zu erheben (Art. 20a Abs. 2 Ziff. 5 SchKG).</w:t>
      </w:r>
    </w:p>
    <w:p>
      <w:r>
        <w:t>Kantonsgericht KG Seite 4 von 4 Die Kammer erkennt: I. Das Beschwerdeverfahren 105 2015 141 wird als gegenstandslos abgeschrieben.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22. Februar 2016/rbr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