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2014 108 vom 25. November 2014</w:t>
      </w:r>
    </w:p>
    <w:p>
      <w:r>
        <w:t>FR Kantonsgericht, 2014-11-25, FR</w:t>
      </w:r>
    </w:p>
    <w:p>
      <w:r>
        <w:rPr>
          <w:b/>
        </w:rPr>
        <w:t xml:space="preserve">Quelle: </w:t>
      </w:r>
      <w:r>
        <w:t>https://mcp.opencaselaw.ch/entscheid/fr_gerichte_105_2014_108</w:t>
      </w:r>
    </w:p>
    <w:p>
      <w:r>
        <w:t>FR: FR_GERICHTE 105 2014 108 du 25 novembre 2014</w:t>
      </w:r>
    </w:p>
    <w:p>
      <w:r>
        <w:t>IT: FR_GERICHTE 105 2014 108 del 25 novembre 2014</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a) Hormis dans les cas où la loi prescrit la voie judiciaire, il peut être porté plainte à l'autorité de surveillance lorsqu'une mesure de l'office est contraire à la loi ou ne paraît pas justifiée en fait (art. 17 al. 1 de la loi fédérale du 11 avril 1889 sur la poursuite pour dettes et la faillite [LP; RS 281.1]). La plainte doit être déposée dans les dix jours de celui où le plaignant a eu connaissance de la mesure (art. 17 al. 2 LP). Sauf disposition contraire de la LP, les règles du Code de procédure civile du 19 décembre 2008 (CPC; RS 272) s'appliquent à la computation et à l'observation des délais (art. 31 LP). L’avis de rejet de réquisition du 5 aout 2014 a été notifié à la plaignante en date du 6 août 2014. Déposée le 12 aout 2014, la plainte a ainsi été formée en temps utile. L'autorité saisie est par ailleurs compétente pour en connaître (cf. art. 15 de la loi du 11 mai 1891 concernant l'exécution de la loi fédérale sur la poursuite pour dettes et la faillite (LELP; RS 28.1).</w:t>
      </w:r>
    </w:p>
    <w:p>
      <w:r>
        <w:rPr>
          <w:b/>
        </w:rPr>
        <w:t>E. 2</w:t>
      </w:r>
    </w:p>
    <w:p>
      <w:r>
        <w:t>Total avec 0% d'intérêt CHF 879.85 bb) Selon la jurisprudence et la doctrine, le poursuivant doit indiquer dans sa réquisition de poursuite en chiffres le ou les montants que le poursuivi sera sommé de payer; il peut donc faire valoir, dans une seule poursuite, plusieurs créances contre le même débiteur. En outre, selon une jurisprudence très ancienne (cf. ATF 56 III 163 / JdT 1933 II 158), il est permis au poursuivant de déterminer la prétention mise en poursuite par l'indication d'un capital, dont à déduire un ou des acomptes reçus, car ce mode de faire n'exige que de faire une ou des soustractions. En revanche, selon la même jurisprudence, si les indications relatives aux intérêts sont incomplètes ou compliquées, de sorte que le calcul des intérêts dus à la fin de la poursuite en est rendu difficile, le préposé doit refuser la réquisition en invitant le créancier à la corriger. Ainsi, si le créancier exerce une poursuite pour le solde d'une créance en capital qui a été amortie par le versement d'acomptes successifs, et qu'il entend recouvrer non seulement l'intérêt de ce solde mais également les intérêts dus pour chaque acompte jusqu'au moment où le paiement partiel a été effectué, il doit indiquer en chiffres exacts les intérêts réclamés, à l'exception de l'intérêt du solde en capital restant dû après le versement du dernier acompte. Les réquisitions de poursuite qui ne remplissent pas ces exigences doivent être retournées au créancier (cf. ATF 81 III 49 / JdT 1955 II 99). Si le créancier met en poursuite, dans une seule réquisition, plusieurs créances contre le même débiteur, et qu'il porte en décompte un ou plusieurs acomptes, une difficulté supplémentaire se présente. L'office des poursuites n'est en effet pas en mesure de déterminer la créance sur laquelle les acomptes doivent être déduits. A défaut de connaitre le fondement matériel des créances et donc leur exigibilité, il ne saurait en effet faire application de l'art. 87 CO. Il appartient par conséquent au créancier de désigner la créance sur laquelle le paiement doit être imputé (cf. art. 86 al. 2 CO). Dans ces conditions et dans ce cas, la réquisition de poursuite doit donc également être retournée au créancier. cc) Comme le relève à raison le plaignant, en tant que créancier, il peut requérir la poursuite d’un débiteur sans avoir à utiliser un formulaire. L’obligation d’utiliser un formulaire n’incombe pas au créancier mais uniquement à l’autorité. Par conséquent, seul importe de savoir si l’office des poursuites est en mesure d’établir correctement le commandement de payer. L'Office des poursuites a déduit de l'instruction n° 2 que les acomptes ne peuvent plus être mentionnés sur le commandement de payer et qu'ils doivent être déduits de la créance. Il ne saurait être suivi sur ce point. L'instruction n° 2 ne se prononce en effet pas sur l'admissibilité de la mention d'acomptes à déduire de la créance mise en poursuite. Or, dans la mesure où le champ consacré aux créances donnant lieu à la poursuite permet l'indication de dix créances au maximum, chacune avec un taux et une date de départ différente pour les intérêts moratoires, on ne voit pas pour quelle raison le créancier ne pourrait pas utilier cet espace pour indiquer les acomptes qu'il a déjà reçus en paiement partiel des créances mises en poursuite. En effet, il est tout aussi compliqué pour l'office de calculer le montant exact qui doit être réclamé au débiteur avec l'indication de six créances avec des taux d'intérêts courant de et jusqu'à des dates</w:t>
      </w:r>
    </w:p>
    <w:p>
      <w:r>
        <w:t>Tribunal cantonal TC Page 7 de 7 différentes, que de faire le calcul d'une créance dont il convient de déduire des acomptes, le calcul des intérêts moratoires étant influencé par lesdits acomptes. Ainsi que cela a été exposé, cette règle générale doit cependant être nuancée lorsque plusieurs créances font l'objet de la même poursuite. Il n'appartient alors pas à l'office, mais au créancier, d'indiquer les créances sur lesquelle les acomptes doivent être portés en compte. A défaut, la réquisition de poursuite n'est pas conforme à l'art. 67 al. 1 ch. 3 LP et l'office doit refuser d'y donner suite. Il en va de même si le calcul des intérêts s'avère trop compliqué. Or, tel est le cas en l'espèce. dd) Force est de constater que cette réquisition n'est pas conforme à l'art. 76 al. 1 ch. 3 LP sur deux points. D'une part, elle mentionne deux acomptes sans indiquer sur laquelle des deux créances ceux-ci doivent être imputés. D'autre part, elle mentionne un capital avec des intérêts, mais en indiquant l'imputation de deux acomptes, elle omet d'effectuer le calcul des intérêts réclamés. Dans ces conditions, c'est à juste titre que l'Office des poursuites a refusé d'établir un commandement de payer. Il s’ensuit le rejet de la plainte et la confirmation de la décision de rejet de la réquisition de poursuite de l'Office des poursuites du 5 août 2014.</w:t>
      </w:r>
    </w:p>
    <w:p>
      <w:r>
        <w:rPr>
          <w:b/>
        </w:rPr>
        <w:t>E. 3</w:t>
      </w:r>
    </w:p>
    <w:p>
      <w:r>
        <w:t>Il n’est pas perçu de frais (art. 20a al. 2 ch. 5 LP et 61 al. 2 let. a OELP), ni alloué de dépens (art. 62 al. 2 OELP). la Chambre arrête: I. La plainte est rejetée. II. Il n’est pas perçu de frais.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novembre 2014/aur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