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58 vom 15. Mai 2025</w:t>
      </w:r>
    </w:p>
    <w:p>
      <w:r>
        <w:t>FR Kantonsgericht, 2025-05-15, FR</w:t>
      </w:r>
    </w:p>
    <w:p>
      <w:r>
        <w:rPr>
          <w:b/>
        </w:rPr>
        <w:t xml:space="preserve">Quelle: </w:t>
      </w:r>
      <w:r>
        <w:t>https://mcp.opencaselaw.ch/entscheid/fr_gerichte_102_2025_58</w:t>
      </w:r>
    </w:p>
    <w:p>
      <w:r>
        <w:t>FR: FR_GERICHTE 102 2025 58 du 15 mai 2025</w:t>
      </w:r>
    </w:p>
    <w:p>
      <w:r>
        <w:t>IT: FR_GERICHTE 102 2025 58 del 15 maggio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10 jours à compter de la notification de la décision (art. 321 al. 2 CPC). En l'espèce, la décision querellée a été notifiée au recourant le 24 mars 2025. Remis à la poste le 31 mars 2025, le recours a été interjeté en temps utile. Il est, de plus, sommairement motivé.</w:t>
      </w:r>
    </w:p>
    <w:p>
      <w:r>
        <w:rPr>
          <w:b/>
        </w:rPr>
        <w:t>E. 1.2</w:t>
      </w:r>
    </w:p>
    <w:p>
      <w:r>
        <w:t>La cognition de la Cour d’appel est pleine et entière en droit; s’agissant des faits, elle est limitée à leur constatation manifestement inexacte (art. 320 CPC).</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à l’appui de son recours, le recourant a produit un décompte qu’il a établi et intitulé « Impôt cantonal », des factures de l’Office des poursuites de la Glâne et des extraits de son compte bancaire. Faute d’avoir été produites en première instance, ces pièces sont irrecevables au stade du recours et la Cour n’en tiendra dès lors pas compte. Il en va de même du relevé de compte de l’impôt 2022 et du relevé général du dossier, produits par l’intimé au stade du recours seulement, et qui sont, partant, irrecevables. La Cour statuera sur la base des pièces versées au dossier par les parties en première instance.</w:t>
      </w:r>
    </w:p>
    <w:p>
      <w:r>
        <w:t>Tribunal cantonal TC Page 3 de 5</w:t>
      </w:r>
    </w:p>
    <w:p>
      <w:r>
        <w:rPr>
          <w:b/>
        </w:rPr>
        <w:t>E. 1.4</w:t>
      </w:r>
    </w:p>
    <w:p>
      <w:r>
        <w:t>La Cour statue sans débats (art. 327 al. 2 CPC).</w:t>
      </w:r>
    </w:p>
    <w:p>
      <w:r>
        <w:rPr>
          <w:b/>
        </w:rPr>
        <w:t>E. 1.5</w:t>
      </w:r>
    </w:p>
    <w:p>
      <w:r>
        <w:t>La valeur litigieuse est inférieure à CHF 30'000.- de sorte que seul le recours constitutionnel subsidiaire est ouvert contre le présent arrêt (art. 74 al. 1 let. b et 113 ss LTF).</w:t>
      </w:r>
    </w:p>
    <w:p>
      <w:r>
        <w:rPr>
          <w:b/>
        </w:rPr>
        <w:t>E. 2.1</w:t>
      </w:r>
    </w:p>
    <w:p>
      <w:r>
        <w:t>Aux termes des art. 80 et 81 LP, le juge doit prononcer la mainlevée définitive de l'opposition lorsque le créancier produit un jugement exécutoire ou un titre qui y est assimilé, tel qu'une décision d'une autorité administrative suisse (art. 80 al. 2 ch. 2 LP),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 ATF 113 III 6 consid. 1b). L'art. 81 LP exige, pour maintenir l'opposition formée par la partie poursuivie, la preuve par titre de l'extinction – totale ou partielle – de la dette ;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Le recourant fait, en substance, grief au premier juge de ne pas avoir retenu qu’il avait soldé la totalité de ses impôts 2021. Il soutient qu’il a payé tous les acomptes prévus par l’arrangement de paiement conclu avec l’intimé, le dernier l’ayant été le 4 août 2024. Il allègue encore que l’intimé lui avait indiqué qu’un retard d’un mois dans le paiement des acomptes était acceptable.</w:t>
      </w:r>
    </w:p>
    <w:p>
      <w:r>
        <w:rPr>
          <w:b/>
        </w:rPr>
        <w:t>E. 2.3</w:t>
      </w:r>
    </w:p>
    <w:p>
      <w:r>
        <w:t>En l'espèce, le Président a prononcé la mainlevée définitive en se fondant sur l’avis de taxation du 22 septembre 2022 portant sur l’année 2021, le décompte du 26 septembre 2022, tous deux attestés définitifs et exécutoires, valant titre de mainlevée définitive selon l'art. 80 LP. En date du 21 juin 2023, le requérant a consenti à un arrangement de paiement en faveur des débiteurs pour solder l’impôt 2021. Il est précisé sur ce document que chaque QR-facture est à utiliser dans l’ordre numérique et doit être réglée jusqu’à la date de paiement indiquée sur le bordereau et le récépissé. Il est également mentionné que toute dérogation au mode de paiement convenu annule l’arrangement de paiement. Or, il ressort du relevé de compte relatif à l’impôt 2021 du 18 février 2025 produit par le requérant ainsi que des extraits de compte bancaire produits par le débiteur que les acomptes n’ont jamais été payés dans le délai indiqué sur les bulletins de versement, mais avec jusqu’à près de 4 mois de retard pour plusieurs d’entre eux et qu’alors que l’arrangement de paiement prenait fin le 30 avril 2024, le dernier paiement du débiteur date du 2 août 2024, ce qui rend déjà, pour ce motif, l’arrangement de paiement caduc selon ses conditions.</w:t>
      </w:r>
    </w:p>
    <w:p>
      <w:r>
        <w:t>Tribunal cantonal TC Page 4 de 5 De plus, le versement n° 8 n’a pas été effectué, ce qui ressort du relevé de compte du 18 février 2025 du requérant, mais également de l’extrait de compte du débiteur selon lequel, le 26 juillet 2024, il a versé un montant de CHF 500.- qui correspondait au versement n° 2 de l’arrangement de paiement pour les impôts 2022 et non à l’arrangement de paiement 2021, de sorte que ce versement n’a, à juste titre, pas été affecté au recouvrement des impôts 2021. Il n’appartient pas au requérant de ventiler les paiements reçus dans les comptes des différentes années mais au contribuable de scanner le bon bulletin et de se conformer aux indications données. Il s’ensuit que le recourant n’a pas prouvé par titre avoir payé sa dette d’impôts 2021. Pour le surplus, il ne critique pas le relevé de compte du 18 février 2025 de l’intimé ni ne fait valoir d’autres griefs. Par conséquent, dès lors que le créancier poursuivant a produit un titre exécutoire et que le débiteur n’a pas établi par titre avoir payé sa dette ou bénéficié d’un sursis, ni invoqué la prescription (art. 81 al. 1 LP), la mainlevée définitive devait être prononcée. Il s’ensuit le rejet du recours.</w:t>
      </w:r>
    </w:p>
    <w:p>
      <w:r>
        <w:rPr>
          <w:b/>
        </w:rPr>
        <w:t>E. 3</w:t>
      </w:r>
    </w:p>
    <w:p>
      <w:r>
        <w:t>Selon l’art. 106 al. 1 CPC, les frais sont mis à la charge de la partie succombante. Les frais comprennent les frais judiciaires et les dépens (art. 95 CPC). En l’espèce, le recours est rejeté. Dans ces circonstances, les frais judiciaires de la procédure de recours, fixés à CHF 100.-, sont mis à la charge du recourant et prélevés sur son avance (art. 111 al. 1 CPC). Il n’est pas alloué de dépens à l'intimé.</w:t>
      </w:r>
    </w:p>
    <w:p>
      <w:r>
        <w:t>Tribunal cantonal TC Page 5 de 5 la Cour arrête : I. Le recours est rejeté. Partant, la décision prononcée le 13 mars 2025 par le Président du Tribunal civil de la Glâne est confirmée. II. Les frais judiciaires de la procédure de recours, fixés à CHF 100.-, sont mis à la charge de A.________ et prélevés sur l'avance qu'il a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15 mai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