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219 vom 17. November 2025</w:t>
      </w:r>
    </w:p>
    <w:p>
      <w:r>
        <w:t>FR Kantonsgericht, 2025-11-17, DE</w:t>
      </w:r>
    </w:p>
    <w:p>
      <w:r>
        <w:rPr>
          <w:b/>
        </w:rPr>
        <w:t xml:space="preserve">Quelle: </w:t>
      </w:r>
      <w:r>
        <w:t>https://mcp.opencaselaw.ch/entscheid/fr_gerichte_102_2025_219</w:t>
      </w:r>
    </w:p>
    <w:p>
      <w:r>
        <w:t>FR: FR_GERICHTE 102 2025 219 du 17 novembre 2025</w:t>
      </w:r>
    </w:p>
    <w:p>
      <w:r>
        <w:t>IT: FR_GERICHTE 102 2025 219 del 17 novembre 2025</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26. September 2025 der Beschwerde (Art. 309 Bst. b Ziff. 3 i.V.m. Art. 319 Bst. a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Bst. c des Reglements für das Kantonsgericht betreffend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Für die Berechnung, die Einhaltung und den Lauf der Fristen gelten die Bestimmungen der ZPO, sofern das SchKG nichts anderes bestimmt (Art. 31 SchKG). Fristen, die durch eine Mitteilung oder den Eintritt eines Ereignisses ausgelöst werden, beginnen am folgenden Tag zu laufen (Art. 142 Abs. 1 ZPO). Die Zustellung einer eingeschriebenen Postsendung, die nicht abgeholt worden ist, gilt am siebten Tag nach dem erfolglosen Zustellungsversuch als erfolgt, sofern die Person mit einer Zustellung rechnen musste (Art. 138 Abs. 3 Bst. a ZPO). Der angefochtene Entscheid wurde dem Beschwerdeführer am 29. September 2025 zur Abholung gemeldet (vgl. Akten des Zivilgerichtspräsidenten, act. 26). Da der Beschwerdeführer das Einschreiben nicht abgeholt hat, gilt dieses als am 6. Oktober 2025 zugestellt (Zustellfiktion). Er hat am 17. September 2025 seine Stellungnahme in diesem Verfahren eingereicht und musste deshalb</w:t>
      </w:r>
    </w:p>
    <w:p>
      <w:r>
        <w:t>Kantonsgericht KG Seite 3 von 5 mit der Zustellung eines Gerichtsentscheides rechnen. Mit Eingabe vom 16. Oktober 2025 wurde die Rechtsmittelfrist eingehalten. Auf die Beschwerde ist grundsätzlich einzutreten.</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2.1</w:t>
      </w:r>
    </w:p>
    <w:p>
      <w:r>
        <w:t>Der Beschwerdeführer führt in seiner Beschwerde dieselben Gründe auf, wie er vor dem Vorrichter vorgebracht hatte. Er habe keine für ihn verständliche Antwort erhalten und seine Argumente und Beweise seien nicht berücksichtigt worden. Er sei seit März 2023 arbeitsunfähig und werde von mehreren Ärzten medizinisch betreut. Seit März 2025 erhalte er von der Krankentaggeld- versicherung keine Unterstützung mehr, sondern werde vom Sozialamt finanziell unterstützt. Er habe die Krankentaggeldversicherung mehrmals darauf hingewiesen, dass Unstimmigkeiten bei der Berechnung und Auszahlung der Taggelder vorhanden seien. Bei der Abrechnung der Beschwerdegegnerin für den Monat Februar 2025 gebe es Abweichungen zur Taggeldabrechnung der Krankentaggeldversicherung für dieselbe Rechnungsperiode.</w:t>
      </w:r>
    </w:p>
    <w:p>
      <w:r>
        <w:rPr>
          <w:b/>
        </w:rPr>
        <w:t>E. 2.2</w:t>
      </w:r>
    </w:p>
    <w:p>
      <w:r>
        <w:t>Nach Art. 80 Abs. 1 SchKG kann der Gläubiger beim Gericht die Aufhebung des Rechts- vorschlags (definitive Rechtsöffnung) verlangen, wenn die Forderung auf einem vollstreckbaren gerichtlichen Entscheid beruht. Jede vollstreckbare Verfügung einer schweizerischen Verwaltungsbehörde, die auf Geldzahlung lautet, berechtigt zur definitiven Rechtsöffnung und ist insoweit den gerichtlichen Entscheiden gleichgestellt (Art. 80 Abs. 2 Ziff. 2 SchKG; Urteil BGer 5D_30/2021 vom 20. Dezember 2021 E. 2.1).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Anforderungen an einen definitiven Rechtsöffnungstitel erfüllt bzw. ob Einreden vorliegen, welche gegen die Erteilung der Rechtsöffnung sprechen (VOCK/AEPLI-WIRZ, in Kommentar zum Bundesgesetz über Schuldbetreibung und Konkurs, 4. Aufl. 2017, Art. 80 N. 2; siehe auch KREN KOSTKIEWICZ, OFK- SchKG, 20. Aufl. 2020, Art. 80 N. 2 f.; BGE 143 III 564 E. 4.1). Die definitive Rechtsöffnung setzt voraus, dass die zu vollstreckende Verfügung vollstreckbar ist, was der Rechtsöffnungsrichter zu prüfen hat. Der Rechtsöffnungsrichter prüft die Forderungsidentität, die Schuldneridentität und die Gläubigeridentität von Amtes wegen. Die Rechtsöffnung ist nur dann zu erteilen, wenn diese drei Identitäten zweifelsfrei feststehen (BGE 150 III 209 E. 1.2 und 3.7).</w:t>
      </w:r>
    </w:p>
    <w:p>
      <w:r>
        <w:t>Kantonsgericht KG Seite 4 von 5</w:t>
      </w:r>
    </w:p>
    <w:p>
      <w:r>
        <w:rPr>
          <w:b/>
        </w:rPr>
        <w:t>E. 2.3</w:t>
      </w:r>
    </w:p>
    <w:p>
      <w:r>
        <w:t>Gemäss Art. 25 Abs. 1 ATSG sind unrechtmässig bezogene Leistungen der Invaliden- versicherung zurückzuerstatten. Vollstreckbare Verfügungen und Einspracheentscheide, die auf Geldzahlung oder Sicherheitsleistung gerichtet sind, stehen vollstreckbaren Urteilen im Sinne von Art. 80 SchKG gleich (Art. 54 Abs. 2 ATSG).</w:t>
      </w:r>
    </w:p>
    <w:p>
      <w:r>
        <w:rPr>
          <w:b/>
        </w:rPr>
        <w:t>E. 2.4</w:t>
      </w:r>
    </w:p>
    <w:p>
      <w:r>
        <w:t>Bei der vorliegend betriebenen Forderung handelt es sich um die Rückerstattung von zu viel bezogenen Taggeldern der Invalidenversicherung im Betrag von CHF 722.60. Dieser Anspruch wurde mit Verfügung der IV-Stelle des Kantons Freiburg vom 3. April 2025 festgesetzt, wobei das IV-Taggeld durch die Ausgleichskasse, bei der die versicherte Person angeschlossen ist, berechnet und ausbezahlt und folglich auch dieser zu erstatten ist, vorliegend also der Beschwerdegegnerin. Mangels Einsprache gegen die vorgenannte Verfügung ist diese rechtskräftig und vollstreckbar geworden. Auch die drei Identitäten sind gegeben, so dass der Entscheid vom 26. September 2025 nicht zu beanstanden ist. Die Beschwerde ist demnach abzuweisen.</w:t>
      </w:r>
    </w:p>
    <w:p>
      <w:r>
        <w:rPr>
          <w:b/>
        </w:rPr>
        <w:t>E. 3</w:t>
      </w:r>
    </w:p>
    <w:p>
      <w:r>
        <w:t>Der Beschwerdeführer beantragt die unentgeltliche Rechtspflege.</w:t>
      </w:r>
    </w:p>
    <w:p>
      <w:r>
        <w:rPr>
          <w:b/>
        </w:rPr>
        <w:t>E. 3.1</w:t>
      </w:r>
    </w:p>
    <w:p>
      <w:r>
        <w:t>Gemäss Art. 117 ZPO hat Anspruch auf unentgeltliche Rechtspflege, wer nicht über die notwendigen Mittel verfügt und wessen Rechtsbegehren nicht aussichtslos erscheinen. Es obliegt dem Gesuchsteller, das Vorliegen dieser Vorgaben zu begründen.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139 III 475 E. 2.2).</w:t>
      </w:r>
    </w:p>
    <w:p>
      <w:r>
        <w:rPr>
          <w:b/>
        </w:rPr>
        <w:t>E. 3.2</w:t>
      </w:r>
    </w:p>
    <w:p>
      <w:r>
        <w:t>Das Gesuch des Beschwerdeführers enthält wenige Angaben zu seiner finanziellen Situation und keine Begründung zur Nicht-Aussichtslosigkeit der Rechtsbegehren. In Anbetracht der vorstehenden Erwägungen hätte eine Partei, die über die nötigen Mittel verfügt, sich bei vernünftiger Überlegung nicht zur Beschwerde entschlossen und die Rechtsbegehren müssen somit als aussichtslos bezeichnet werden. Das Gesuch um unentgeltliche Rechtspflege ist daher abzuweisen.</w:t>
      </w:r>
    </w:p>
    <w:p>
      <w:r>
        <w:rPr>
          <w:b/>
        </w:rPr>
        <w:t>E. 4</w:t>
      </w:r>
    </w:p>
    <w:p>
      <w:r>
        <w:t>Die Prozesskosten, bestehend aus Gerichtskosten und Parteientschädigung, werden der unterliegenden Partei auferlegt (Art. 95 Abs. 1 Bst. a und b, 106 Abs. 1 ZPO). Der Beschwerdeführer ist mit seinen Anträgen nicht durchgedrungen und hat daher die Prozesskosten zu tragen. Die Gerichtskosten sind namentlich in Berücksichtigung der in Betreibung gesetzten Summe auf pauschal CHF 150.- festzusetzen (Art. 48 und 61 Abs. 1 GebV SchKG). Es wurde gemäss Art. 322 ZPO keine Vernehmlassung eingeholt und der Gegenpartei sind keine weiteren Umstände entstanden; es ist somit keine Parteientschädigung auszurichten.</w:t>
      </w:r>
    </w:p>
    <w:p>
      <w:r>
        <w:t>Kantonsgericht KG Seite 5 von 5 Der Hof erkennt: I. Die Beschwerde wird abgewiesen. II. Das Gesuch um unentgeltliche Rechtspflege wird abgewiesen. III. Die Prozesskosten des Beschwerdeverfahrens werden A.________ auferlegt. Die Gerichtskosten des Beschwerdeverfahrens werden auf CHF 150.- festgesetzt. Es wird keine Parteientschädigung zugesprochen.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17. November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