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206 vom 22. Oktober 2025</w:t>
      </w:r>
    </w:p>
    <w:p>
      <w:r>
        <w:t>FR Kantonsgericht, 2025-10-22, FR</w:t>
      </w:r>
    </w:p>
    <w:p>
      <w:r>
        <w:rPr>
          <w:b/>
        </w:rPr>
        <w:t xml:space="preserve">Quelle: </w:t>
      </w:r>
      <w:r>
        <w:t>https://mcp.opencaselaw.ch/entscheid/fr_gerichte_102_2025_206</w:t>
      </w:r>
    </w:p>
    <w:p>
      <w:r>
        <w:t>FR: FR_GERICHTE 102 2025 206 du 22 octobre 2025</w:t>
      </w:r>
    </w:p>
    <w:p>
      <w:r>
        <w:t>IT: FR_GERICHTE 102 2025 206 del 22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est réputée avoir été notifiée à la recourante le 2 octobre 2025, soit à l’issue du délai de garde de 7 jours qui ont suivi le dépôt de l'avis de retrait dans sa boîte aux lettres le 25 septembre 2025, si bien que le délai de recours est venu à échéance le 13 octobre 2025. Le recours – et son complément, déposé le dernier jour du délai –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w:t>
      </w:r>
    </w:p>
    <w:p>
      <w:r>
        <w:t>Tribunal cantonal TC Page 3 de 4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dans la citation à comparaître du 31 juillet 2025 à l’audience de faillite de première instance du 22 septembre 2025, la recourante a été invitée à payer le montant total de CHF 3'610.60, intérêts et frais de procédure compris, pour éviter la faillite. Elle s’est acquittée d’un montant total de CHF 4’000.- auprès du greffe du Tribunal cantonal le 3 octobre 2025, de sorte que la première condition posée par l'art. 174 al. 2 ch. 2 LP, soit le paiement de la dette, intérêts et frais compris, est remplie.</w:t>
      </w:r>
    </w:p>
    <w:p>
      <w:r>
        <w:rPr>
          <w:b/>
        </w:rPr>
        <w:t>E. 2.4</w:t>
      </w:r>
    </w:p>
    <w:p>
      <w:r>
        <w:t>Toutefois, il ressort de la liste des affaires en cours établie le 3 octobre 2025 par l’Office des poursuites de la Sarine à la demande de la Cour que la recourante fait actuellement l’objet de</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l’intimée, qui n’a pas été invitée à se déterminer sur le recours.</w:t>
      </w:r>
    </w:p>
    <w:p>
      <w:r>
        <w:t>Tribunal cantonal TC Page 4 de 4 la Cour arrête : I. Le recours est rejeté. Partant, la décision de faillite rendue le 22 septembre 2025 par le Président du Tribunal civil de la Sarine dans la cause ddd est confirmée. II. La requête d'effet suspensif est sans objet. III. Le montant de CHF 4’000.- déposé auprès du greffe du Tribunal cantonal le 3 octobre 2025 sera transféré à l'Office cantonal des faillites sans délai. IV. Les frais de la procédure de recours sont mis à la charge de A.________.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