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187 vom 29. September 2025</w:t>
      </w:r>
    </w:p>
    <w:p>
      <w:r>
        <w:t>FR Kantonsgericht, 2025-09-29, FR</w:t>
      </w:r>
    </w:p>
    <w:p>
      <w:r>
        <w:rPr>
          <w:b/>
        </w:rPr>
        <w:t xml:space="preserve">Quelle: </w:t>
      </w:r>
      <w:r>
        <w:t>https://mcp.opencaselaw.ch/entscheid/fr_gerichte_102_2025_187</w:t>
      </w:r>
    </w:p>
    <w:p>
      <w:r>
        <w:t>FR: FR_GERICHTE 102 2025 187 du 29 septembre 2025</w:t>
      </w:r>
    </w:p>
    <w:p>
      <w:r>
        <w:t>IT: FR_GERICHTE 102 2025 187 del 29 settembre 2025</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102 2025 187 Arrêt du 29 septembre 2025 IIe Cour d’appel civil Composition Présidente : Dina Beti Juges : Catherine Overney, Markus Ducret Greffier-rapporteur : Luis da Silva Parties A.________ SÀRL, recourante, représentée par Me Bernard Ayer, avocat contre B.________, intimée Objet Annulation de la faillite (art. 174 LP) Recours du 11 septembre 2025 contre la décision du Président du Tribunal civil de l'arrondissement de la Sarine du 1er septembre 2025</w:t>
      </w:r>
    </w:p>
    <w:p>
      <w:r>
        <w:t>Tribunal cantonal TC Page 2 de 3 attendu que, le 6 juin 2025, A.________ Sàrl a interjeté recours contre la décision du 1er septembre 2025 du Président du Tribunal civil de l'arrondissement de la Sarine prononçant sa faillite; que, arrêt du 16 septembre 2025, la Présidente de la Cour a accordé d'office l'effet suspensif au recours;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qu'en l'espèce, selon l'extrait du registre des poursuites du 12 septembre 2025 que la Cour s'est fait produire d'office, la recourante fait l’objet de poursuites pour un montant total de CHF 13'613.45 dont CHF 915.55 au stade de la commination de faillite; que la recourante fait également l’objet d’actes de défaut de biens pour un montant de CHF 5'672.10; qu’elle a déposé le montant de CHF 8'000.- le 11 septembre 2025 auprès du Tribunal cantonal pour régler l’ensemble des poursuites qui ne font pas l’objet d’une opposition totale ainsi que les actes de défaut de biens; que ce montant permet le règlement de l’ensemble de ses dettes en poursuite y compris celle qui a donné lieu à la faillite avec les frais de procédure de première instance, ainsi que les actes de défaut de biens délivrés à son encontre; que seules les poursuites qui ont fait l’objet d’une opposition totale ne sont pas couvertes par le dépôt de faillite, la recourante les contestant fermement; que la recourante a produit des extraits de son compte bancaire permettant d’établir son chiffre d’affaires pour les années 2019 à 2025, de l’ordre de CHF 30'000.- par année; qu’il faut admettre qu’elle a rendu vraisemblable sa solvabilité; qu'il y a dès lors lieu de retenir que les conditions posées par l’art. 174 al. 2 LP sont remplies; que, malgré l’admission du recours, les frais de la première et de la seconde instance sont mis à la charge de la recourante, qui a provoqué la présente procédure; que, pour l’instance de recours, ils sont fixés au montant forfaitaire de CHF 500.- (émolument global; art. 52 et 61 OELP) et seront prélevés sur l’avance effectuée le 22 septembre 2025 par la recourante; qu’il n’y a pas lieu d’allouer de dépens à l'intimée qui n’a pas été invitée à se déterminer sur le recours;</w:t>
      </w:r>
    </w:p>
    <w:p>
      <w:r>
        <w:t>Tribunal cantonal TC Page 3 de 3 la Cour arrête : I. Le recours est admis. Partant, la décision du Président du Tribunal civil de l'arrondissement de la Sarine du 1er septembre 2025 prononçant la faillite de A.________ Sàrl est annulée. II. La somme de CHF 8'000.- consignée sur le compte du Tribunal cantonal sera versée sans délai à l'Office des poursuites de la Sarine pour payer la poursuite n° ccc à l’origine de la faillite (capital, intérêts et frais y compris CHF 200.- représentant les frais judiciaires de première instance avancés par la créancière), ainsi qu'au règlement des autres poursuites au stade de la commination de faillite (poursuites nos ddd et eee), ainsi que des actes de défaut de biens (poursuites nos fff, ggg, hhh, iii, jjj, kkk et lll. III. Les frais judiciaires des deux instances sont mis à la charge de A.________ Sàrl. Pour la première instance, l’émolument global est fixé à CHF 200.-. Il est prélevé sur l’avance effectuée par B.________, qui a été remboursée par A.________ Sàrl (cf. supra ch. II). Le solde de l’avance de frais sera restitué à B.________. Pour la seconde instance, l'émolument global est fixé à CHF 500.- et mis à la charge de A.________ Sàrl. Il sera prélevé sur l’avance de frais effectuée.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septembre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