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128 vom 16. Juli 2025</w:t>
      </w:r>
    </w:p>
    <w:p>
      <w:r>
        <w:t>FR Kantonsgericht, 2025-07-16, FR</w:t>
      </w:r>
    </w:p>
    <w:p>
      <w:r>
        <w:rPr>
          <w:b/>
        </w:rPr>
        <w:t xml:space="preserve">Quelle: </w:t>
      </w:r>
      <w:r>
        <w:t>https://mcp.opencaselaw.ch/entscheid/fr_gerichte_102_2025_128</w:t>
      </w:r>
    </w:p>
    <w:p>
      <w:r>
        <w:t>FR: FR_GERICHTE 102 2025 128 du 16 juillet 2025</w:t>
      </w:r>
    </w:p>
    <w:p>
      <w:r>
        <w:t>IT: FR_GERICHTE 102 2025 128 del 16 luglio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10 juin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w:t>
      </w:r>
    </w:p>
    <w:p>
      <w:r>
        <w:t>Tribunal cantonal TC Page 3 de 5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19 juin 2025, la recourante a déposé la somme de CHF 34'405.30 auprès du Tribunal cantonal. Ainsi, il convient de constater qu’elle a soldé la dette d'un montant de CHF 3'851.60 à l’origine de la faillite, intérêts et frais compris, selon le décompte du Tribunal de l'arrondissement de la Veveyse. La première condition cumulative exigée par l’art. 174 al. 2 LP est par conséquent remplie.</w:t>
      </w:r>
    </w:p>
    <w:p>
      <w:r>
        <w:rPr>
          <w:b/>
        </w:rPr>
        <w:t>E. 2.3</w:t>
      </w:r>
    </w:p>
    <w:p>
      <w:r>
        <w:t>S’agissant de la solvabilité de la recourante, l’extrait des affaires en cours au 17 juin 2025 fait état de vingt poursuites au stade de l’opposition, pour un montant total de CHF 59'284.80, ainsi que de sept poursuites au stade de la commination de faillite, pour un montant cumulé de CHF 30'123.-. En date du 19 juin 2025, la recourante a versé la somme de CHF 34'405.30 sur le compte du Tribunal cantonal afin de solder l’ensemble de ses dettes relevant de la commination de faillite. Ce montant inclut toutefois la créance de CHF 3'851.60 à l’origine de la faillite, laquelle doit être déduite. La recourante affirme en outre avoir réglé en mains de la société D.________ SA les deux poursuites pendantes au stade de l’opposition (nos eee et fff) (cf. bordereau de la recourante, pièce 14). Par ailleurs, selon le compte de résultat au 31 décembre 2024, la recourante affichait un bénéfice de CHF 347'369.36. Pour la période de janvier à mai 2025, elle réalisait en outre un excédent supplémentaire de CHF 134'023.40 (cf. bordereau de la recourante, pièces 7 et 8). Au 19 juin 2025, elle se prévaut également de créances ouvertes auprès de ses clients pour un montant de CHF 605'966.30 (cf. bordereau de la recourante, pièces 7 à 9 et 16 à 19), ainsi que d’un solde créditeur de CHF 84'845.04 sur son compte UBS au 20 juin 2025 (cf. bordereau de la recourante, pièce 19). Ces indices donnent à penser que la faillie s'est trouvée de manière temporaire dans l'impossibilité d'honorer ses dettes échues. Celles-ci étant désormais réglées par le dépôt effectué et la recourante disposant d'avoirs, sa solvabilité doit être considérée comme vraisemblable, de sorte que la deuxième condition cumulative est satisfaite. En outre, aucun acte de défaut de biens n'est enregistré à l’encontre de la recourante. Il s'ensuit que le recours doit être admis et la faillite annulée.</w:t>
      </w:r>
    </w:p>
    <w:p>
      <w:r>
        <w:rPr>
          <w:b/>
        </w:rPr>
        <w:t>E. 3</w:t>
      </w:r>
    </w:p>
    <w:p>
      <w:r>
        <w:t>La somme de CHF 34'405.30.- consignée sur le compte du Tribunal cantonal sera versée sans délai à l'Office des poursuites de la Veveyse pour l’affecter au règlement de la poursuite à l’origine de la faillite (capital, intérêts et frais y compris CHF 150.- représentant les frais judiciaires de première</w:t>
      </w:r>
    </w:p>
    <w:p>
      <w:r>
        <w:t>Tribunal cantonal TC Page 4 de 5 instance avancés par le créancier), ainsi qu'au règlement des autres poursuites au stade de la commination de faillite (cf. poursuites nos ggg, hhh, iii, jjj, kkk, lll et mmm).</w:t>
      </w:r>
    </w:p>
    <w:p>
      <w:r>
        <w:rPr>
          <w:b/>
        </w:rPr>
        <w:t>E. 4.1</w:t>
      </w:r>
    </w:p>
    <w:p>
      <w:r>
        <w:t>Malgré l'admission du recours, les frais de la première et de la seconde instance sont mis à la charge de la recourante qui a provoqué la présente procédure en ne s'acquittant pas à temps du montant en poursuite. Pour l'instance de recours, ils sont fixés au montant forfaitaire de CHF 500.- (émolument global; art. 52 et 61 OELP) et seront compensés avec l'avance de frais versée le 2 juillet 2025. Pour la première instance, le montant de CHF 150.-, non contesté, est confirmé. Il est prélevé sur l’avance effectuée par B.________ SA, qui a droit à son remboursement par A.________ SA en liquidation.</w:t>
      </w:r>
    </w:p>
    <w:p>
      <w:r>
        <w:rPr>
          <w:b/>
        </w:rPr>
        <w:t>E. 4.2</w:t>
      </w:r>
    </w:p>
    <w:p>
      <w:r>
        <w:t>Il n'est pas alloué de dépens à B.________ SA qui n'a pas été invitée à se déterminer. (dispositif en page suivante)</w:t>
      </w:r>
    </w:p>
    <w:p>
      <w:r>
        <w:t>Tribunal cantonal TC Page 5 de 5 la Cour arrête : I. Le recours est admis. Partant, la décision du Président du Tribunal civil de l'arrondissement de la Veveyse du 4 juin 2025 prononçant la faillite de la société A.________ SA en liquidation est annulée. II. La somme de CHF 34'405.30 consignée sur le compte du Tribunal cantonal sera versée sans délai à l'Office des poursuites de la Veveyse pour attribution sur la poursuite n° ccc à l’origine de la faillite (capital, intérêts et frais y compris CHF 150.- représentant les frais judiciaires de première instance avancés par le créancier), ainsi qu'au règlement des autres poursuites au stade de la commination de faillite (cf. poursuites nos ggg, hhh, iii, jjj, kkk, lll et mmm). III. Les frais de procédure des deux instances sont mis à la charge de A.________ SA en liquidation. Pour la première instance, l’émolument global est fixé à CHF 150.-. Il est prélevé sur l’avance effectuée par B.________ SA, qui a été remboursée par A.________ SA en liquidation (cf. supra ch. II). Le solde de l’avance de frais sera restitué à B.________ SA. Pour la seconde instance, l'émolument global est fixé à CHF 500.- et mis à la charge de la société A.________ SA en liquidation. Il sera prélevé sur l’avance de frais effectuée.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juillet 2025/mro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