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77 vom 28. Mai 2024</w:t>
      </w:r>
    </w:p>
    <w:p>
      <w:r>
        <w:t>FR Kantonsgericht, 2024-05-28, DE</w:t>
      </w:r>
    </w:p>
    <w:p>
      <w:r>
        <w:rPr>
          <w:b/>
        </w:rPr>
        <w:t xml:space="preserve">Quelle: </w:t>
      </w:r>
      <w:r>
        <w:t>https://mcp.opencaselaw.ch/entscheid/fr_gerichte_102_2024_77</w:t>
      </w:r>
    </w:p>
    <w:p>
      <w:r>
        <w:t>FR: FR_GERICHTE 102 2024 77 du 28 mai 2024</w:t>
      </w:r>
    </w:p>
    <w:p>
      <w:r>
        <w:t>IT: FR_GERICHTE 102 2024 77 del 28 maggio 2024</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Code de procédure civile. La décision attaquée ayant été notifiée à la recourante le 15 mai 2024, le recours, interjeté le même jour, l’a été en temps utile. Le complément au recours, déposé le 17 mai 2024, l’a également été dans le délai légal.</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d’une part, rend vraisemblable sa solvabilité et que, d’autre part, il établit par titre que la dette, intérêts et frais compris, a été payée (ch. 1), que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Tribunal cantonal TC Page 3 de 4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en particulier lorsque la viabilité de l'entreprise ne saurait être déniée d'emblée.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(arrêt TF 5A_251/2018 du 31 mai 2018 consid. 3.1. et les références).</w:t>
      </w:r>
    </w:p>
    <w:p>
      <w:r>
        <w:rPr>
          <w:b/>
        </w:rPr>
        <w:t>E. 2.2</w:t>
      </w:r>
    </w:p>
    <w:p>
      <w:r>
        <w:t>En date du 15 mai 2024, la recourante a versé sur le compte du Tribunal de la Gruyère la somme de CHF 775.05. Ainsi, il convient de constater que la recourante a soldé la dette à l’origine de la faillite, intérêts et frais compris, selon le décompte de réquisition de faillite du Tribunal de la Gruyère. La première condition cumulative exigée par l’art. 174 al. 2 LP est par conséquent remplie.</w:t>
      </w:r>
    </w:p>
    <w:p>
      <w:r>
        <w:rPr>
          <w:b/>
        </w:rPr>
        <w:t>E. 2.3</w:t>
      </w:r>
    </w:p>
    <w:p>
      <w:r>
        <w:t>Concernant la solvabilité de la recourante, l’extrait des affaires en cours (état au 16.05.2024) fait état de 30 poursuites pour un montant total de CHF 65'362.45, dont 10 au stade de la commination de faillite. Toutefois, en date du 17 mai 2024, la recourante a déposé au greffe du Tribunal cantonal la somme de CHF 70'000.- couvrant toutes les poursuites en cours. De plus, elle a produit plusieurs factures qui doivent encore être acquittées par ses créanciers. Au vu de ces éléments, la recourante a rendu vraisemblable sa solvabilité. Partant, le recours doit être admis et la faillite annulée.</w:t>
      </w:r>
    </w:p>
    <w:p>
      <w:r>
        <w:rPr>
          <w:b/>
        </w:rPr>
        <w:t>E. 3</w:t>
      </w:r>
    </w:p>
    <w:p>
      <w:r>
        <w:t>La somme de CHF 70’000.- consignée sur le compte du Tribunal cantonal sera versée sans délai à l'Office des poursuites de la Gruyère pour l’affecter au règlement des autres poursuites en cours de la recourante, selon les instructions de cette dernière. Le solde sera restitué par l’Office à la recourante.</w:t>
      </w:r>
    </w:p>
    <w:p>
      <w:r>
        <w:rPr>
          <w:b/>
        </w:rPr>
        <w:t>E. 4.1</w:t>
      </w:r>
    </w:p>
    <w:p>
      <w:r>
        <w:t>Malgré l'admission du recours, les frais de la première et de la seconde instances sont mis à la charge de la recourante qui a provoqué la présente procédure en ne s'acquittant pas à temps du montant en poursuite. Pour l'instance de recours, ils sont fixés au montant forfaitaire de CHF 500.- (émolument global; art. 52 et 61 OELP). Pour la première instance, le montant de CHF 100.-, non contesté, est confirmé.</w:t>
      </w:r>
    </w:p>
    <w:p>
      <w:r>
        <w:rPr>
          <w:b/>
        </w:rPr>
        <w:t>E. 4.2</w:t>
      </w:r>
    </w:p>
    <w:p>
      <w:r>
        <w:t>Il n'est pas alloué de dépens à l’intimée qui n’a pas été invitée à se déterminer. Tribunal cantonal TC Page 4 de 4 la Cour arrête : I. Le recours est admis. Partant, la décision du 6 mai 2024 de la Présidente du Tribunal civil de la Gruyère prononçant la faillite de A.________ Sàrl est annulée. II. Le montant de CHF 70'000.- versé par A.________ Sàrl est transmis sans délai à l’Office des poursuites de la Gruyère pour affectation aux poursuites en cours, selon instructions de la recourante. III. Les frais de procédure des deux instances sont mis à la charge de la société A.________ Sàrl. Pour la première instance, l’émolument global est fixé à CHF 100.-. Pour la seconde instance, l'émolument global est fixé à CHF 500.-. Il est prélevé sur l’avance de frais du même montant versée par A.________ Sàrl, le 22 mai 2024.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mai 2024/say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